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3"/>
        <w:spacing w:lineRule="auto" w:line="240" w:before="0" w:after="0"/>
        <w:ind w:left="0" w:hanging="0"/>
        <w:jc w:val="left"/>
        <w:rPr/>
      </w:pPr>
      <w:r>
        <w:rPr>
          <w:rStyle w:val="Style14"/>
          <w:rFonts w:ascii="標楷體" w:hAnsi="標楷體" w:cs="新細明體" w:eastAsia="標楷體"/>
          <w:b w:val="false"/>
          <w:bCs w:val="false"/>
          <w:kern w:val="0"/>
          <w:sz w:val="40"/>
          <w:szCs w:val="40"/>
        </w:rPr>
        <w:t>高級中等以下學校兼任代課及代理教師聘任辦法部分條文</w:t>
      </w:r>
      <w:r>
        <w:rPr>
          <w:rStyle w:val="Style14"/>
          <w:rFonts w:ascii="標楷體" w:hAnsi="標楷體" w:cs="標楷體" w:eastAsia="標楷體"/>
          <w:b w:val="false"/>
          <w:color w:val="000000"/>
          <w:sz w:val="40"/>
          <w:szCs w:val="40"/>
        </w:rPr>
        <w:t>修正條文</w:t>
      </w:r>
    </w:p>
    <w:p>
      <w:pPr>
        <w:pStyle w:val="Standard"/>
        <w:tabs>
          <w:tab w:val="left" w:pos="1876" w:leader="none"/>
        </w:tabs>
        <w:ind w:left="1386" w:hanging="1386"/>
        <w:jc w:val="both"/>
        <w:rPr>
          <w:rFonts w:ascii="標楷體" w:hAnsi="標楷體" w:eastAsia="標楷體" w:cs="標楷體"/>
          <w:color w:val="000000"/>
          <w:sz w:val="28"/>
          <w:szCs w:val="28"/>
        </w:rPr>
      </w:pPr>
      <w:r>
        <w:rPr>
          <w:rFonts w:ascii="標楷體" w:hAnsi="標楷體" w:cs="標楷體" w:eastAsia="標楷體"/>
          <w:color w:val="000000"/>
          <w:sz w:val="28"/>
          <w:szCs w:val="28"/>
        </w:rPr>
        <w:t>第五條之一　　學校聘任兼任、代課及代理教師，應以聘約約定授課、聘期、終止聘約、停止聘約執行、待遇、請假、保險、退休金及其他相關權利義務事項。</w:t>
      </w:r>
    </w:p>
    <w:p>
      <w:pPr>
        <w:pStyle w:val="Style22"/>
        <w:spacing w:lineRule="exact" w:line="460"/>
        <w:ind w:left="1427" w:hanging="1453"/>
        <w:jc w:val="both"/>
        <w:rPr/>
      </w:pPr>
      <w:r>
        <w:rPr>
          <w:rStyle w:val="Style14"/>
          <w:rFonts w:ascii="標楷體" w:hAnsi="標楷體" w:cs="標楷體" w:eastAsia="標楷體"/>
          <w:color w:val="000000"/>
          <w:sz w:val="28"/>
          <w:szCs w:val="28"/>
          <w:lang w:bidi="ar-SA"/>
        </w:rPr>
        <w:t>第五條之二　</w:t>
      </w:r>
      <w:r>
        <w:rPr>
          <w:rStyle w:val="Style14"/>
          <w:rFonts w:ascii="標楷體" w:hAnsi="標楷體" w:eastAsia="標楷體"/>
          <w:b/>
          <w:color w:val="000000"/>
          <w:sz w:val="28"/>
          <w:szCs w:val="28"/>
        </w:rPr>
        <w:t>　</w:t>
      </w:r>
      <w:r>
        <w:rPr>
          <w:rStyle w:val="Style14"/>
          <w:rFonts w:ascii="標楷體" w:hAnsi="標楷體" w:cs="標楷體" w:eastAsia="標楷體"/>
          <w:color w:val="000000"/>
          <w:sz w:val="28"/>
          <w:szCs w:val="28"/>
          <w:lang w:bidi="ar-SA"/>
        </w:rPr>
        <w:t>學校聘任兼任、代課及代理教師，其聘期由學校依實際需要定之。</w:t>
      </w:r>
    </w:p>
    <w:p>
      <w:pPr>
        <w:pStyle w:val="Style22"/>
        <w:spacing w:lineRule="exact" w:line="460"/>
        <w:ind w:left="1427" w:firstLine="533"/>
        <w:jc w:val="both"/>
        <w:rPr>
          <w:rFonts w:ascii="標楷體" w:hAnsi="標楷體" w:eastAsia="標楷體" w:cs="標楷體"/>
          <w:color w:val="000000"/>
          <w:sz w:val="28"/>
          <w:szCs w:val="28"/>
          <w:lang w:bidi="ar-SA"/>
        </w:rPr>
      </w:pPr>
      <w:r>
        <w:rPr>
          <w:rFonts w:ascii="標楷體" w:hAnsi="標楷體" w:cs="標楷體" w:eastAsia="標楷體"/>
          <w:color w:val="000000"/>
          <w:sz w:val="28"/>
          <w:szCs w:val="28"/>
          <w:lang w:bidi="ar-SA"/>
        </w:rPr>
        <w:t>學校聘任代理教師，實際需要為一學期或一學年者，應依下列規定辦理：</w:t>
      </w:r>
    </w:p>
    <w:p>
      <w:pPr>
        <w:pStyle w:val="Style22"/>
        <w:spacing w:lineRule="exact" w:line="460"/>
        <w:ind w:left="1985" w:hanging="567"/>
        <w:jc w:val="both"/>
        <w:rPr>
          <w:rFonts w:ascii="標楷體" w:hAnsi="標楷體" w:eastAsia="標楷體" w:cs="標楷體"/>
          <w:color w:val="000000"/>
          <w:sz w:val="28"/>
          <w:szCs w:val="28"/>
          <w:lang w:bidi="ar-SA"/>
        </w:rPr>
      </w:pPr>
      <w:r>
        <w:rPr>
          <w:rFonts w:ascii="標楷體" w:hAnsi="標楷體" w:cs="標楷體" w:eastAsia="標楷體"/>
          <w:color w:val="000000"/>
          <w:sz w:val="28"/>
          <w:szCs w:val="28"/>
          <w:lang w:bidi="ar-SA"/>
        </w:rPr>
        <w:t>一、聘期為一學期者，其聘期應自當學期起日至當學期訖日止。</w:t>
      </w:r>
    </w:p>
    <w:p>
      <w:pPr>
        <w:pStyle w:val="Style22"/>
        <w:spacing w:lineRule="exact" w:line="460"/>
        <w:ind w:left="1985" w:hanging="567"/>
        <w:jc w:val="both"/>
        <w:rPr>
          <w:rFonts w:ascii="標楷體" w:hAnsi="標楷體" w:eastAsia="標楷體" w:cs="標楷體"/>
          <w:color w:val="000000"/>
          <w:sz w:val="28"/>
          <w:szCs w:val="28"/>
          <w:lang w:bidi="ar-SA"/>
        </w:rPr>
      </w:pPr>
      <w:r>
        <w:rPr>
          <w:rFonts w:ascii="標楷體" w:hAnsi="標楷體" w:cs="標楷體" w:eastAsia="標楷體"/>
          <w:color w:val="000000"/>
          <w:sz w:val="28"/>
          <w:szCs w:val="28"/>
          <w:lang w:bidi="ar-SA"/>
        </w:rPr>
        <w:t>二、聘期為一學年者，其聘期應自當學年起日至當學年訖日止。</w:t>
      </w:r>
    </w:p>
    <w:p>
      <w:pPr>
        <w:pStyle w:val="Style22"/>
        <w:spacing w:lineRule="exact" w:line="460"/>
        <w:ind w:left="1418" w:firstLine="566"/>
        <w:jc w:val="both"/>
        <w:rPr/>
      </w:pPr>
      <w:r>
        <w:rPr>
          <w:rStyle w:val="Style14"/>
          <w:rFonts w:ascii="標楷體" w:hAnsi="標楷體" w:cs="標楷體" w:eastAsia="標楷體"/>
          <w:color w:val="000000"/>
          <w:sz w:val="28"/>
          <w:szCs w:val="28"/>
          <w:lang w:bidi="ar-SA"/>
        </w:rPr>
        <w:t>前項代理教師，其初次聘任因招聘作業延遲致未於當學期起日或當學年起日聘任者，聘期自實際聘任日起算。</w:t>
      </w:r>
    </w:p>
    <w:p>
      <w:pPr>
        <w:pStyle w:val="Style22"/>
        <w:spacing w:lineRule="exact" w:line="460"/>
        <w:ind w:left="280" w:hanging="280"/>
        <w:jc w:val="both"/>
        <w:rPr/>
      </w:pPr>
      <w:r>
        <w:rPr>
          <w:rStyle w:val="Style14"/>
          <w:rFonts w:ascii="標楷體" w:hAnsi="標楷體" w:eastAsia="標楷體"/>
          <w:spacing w:val="93"/>
          <w:kern w:val="0"/>
          <w:sz w:val="28"/>
          <w:szCs w:val="28"/>
        </w:rPr>
        <w:t>第十四</w:t>
      </w:r>
      <w:r>
        <w:rPr>
          <w:rStyle w:val="Style14"/>
          <w:rFonts w:ascii="標楷體" w:hAnsi="標楷體" w:eastAsia="標楷體"/>
          <w:spacing w:val="2"/>
          <w:kern w:val="0"/>
          <w:sz w:val="28"/>
          <w:szCs w:val="28"/>
        </w:rPr>
        <w:t>條</w:t>
      </w:r>
      <w:r>
        <w:rPr>
          <w:rStyle w:val="Style14"/>
          <w:rFonts w:ascii="標楷體" w:hAnsi="標楷體" w:cs="標楷體" w:eastAsia="標楷體"/>
          <w:color w:val="000000"/>
          <w:sz w:val="28"/>
          <w:szCs w:val="28"/>
        </w:rPr>
        <w:t>　　</w:t>
      </w:r>
      <w:r>
        <w:rPr>
          <w:rStyle w:val="Style14"/>
          <w:rFonts w:ascii="標楷體" w:hAnsi="標楷體" w:eastAsia="標楷體"/>
          <w:sz w:val="28"/>
          <w:szCs w:val="28"/>
        </w:rPr>
        <w:t>兼任、代課及代理教師於受聘期間，享有下列權利：</w:t>
      </w:r>
    </w:p>
    <w:p>
      <w:pPr>
        <w:pStyle w:val="Style22"/>
        <w:spacing w:lineRule="exact" w:line="460"/>
        <w:ind w:left="1666" w:hanging="280"/>
        <w:jc w:val="both"/>
        <w:rPr>
          <w:rFonts w:ascii="標楷體" w:hAnsi="標楷體" w:eastAsia="標楷體"/>
          <w:sz w:val="28"/>
          <w:szCs w:val="28"/>
        </w:rPr>
      </w:pPr>
      <w:r>
        <w:rPr>
          <w:rFonts w:ascii="標楷體" w:hAnsi="標楷體" w:eastAsia="標楷體"/>
          <w:sz w:val="28"/>
          <w:szCs w:val="28"/>
        </w:rPr>
        <w:t>一、對學校教學及行政事項提供意見。</w:t>
      </w:r>
    </w:p>
    <w:p>
      <w:pPr>
        <w:pStyle w:val="Style22"/>
        <w:spacing w:lineRule="exact" w:line="460"/>
        <w:ind w:left="1666" w:hanging="280"/>
        <w:jc w:val="both"/>
        <w:rPr>
          <w:rFonts w:ascii="標楷體" w:hAnsi="標楷體" w:eastAsia="標楷體"/>
          <w:sz w:val="28"/>
          <w:szCs w:val="28"/>
        </w:rPr>
      </w:pPr>
      <w:r>
        <w:rPr>
          <w:rFonts w:ascii="標楷體" w:hAnsi="標楷體" w:eastAsia="標楷體"/>
          <w:sz w:val="28"/>
          <w:szCs w:val="28"/>
        </w:rPr>
        <w:t>二、享有兼任、代課及代理教師依法令規定之權益。</w:t>
      </w:r>
    </w:p>
    <w:p>
      <w:pPr>
        <w:pStyle w:val="Style22"/>
        <w:spacing w:lineRule="exact" w:line="460"/>
        <w:ind w:left="1666" w:hanging="280"/>
        <w:jc w:val="both"/>
        <w:rPr>
          <w:rFonts w:ascii="標楷體" w:hAnsi="標楷體" w:eastAsia="標楷體"/>
          <w:sz w:val="28"/>
          <w:szCs w:val="28"/>
        </w:rPr>
      </w:pPr>
      <w:r>
        <w:rPr>
          <w:rFonts w:ascii="標楷體" w:hAnsi="標楷體" w:eastAsia="標楷體"/>
          <w:sz w:val="28"/>
          <w:szCs w:val="28"/>
        </w:rPr>
        <w:t>三、參與教師專業發展有關之研習或活動。</w:t>
      </w:r>
    </w:p>
    <w:p>
      <w:pPr>
        <w:pStyle w:val="Style22"/>
        <w:spacing w:lineRule="exact" w:line="460"/>
        <w:ind w:left="1932" w:hanging="546"/>
        <w:jc w:val="both"/>
        <w:rPr>
          <w:rFonts w:ascii="標楷體" w:hAnsi="標楷體" w:eastAsia="標楷體"/>
          <w:sz w:val="28"/>
          <w:szCs w:val="28"/>
        </w:rPr>
      </w:pPr>
      <w:r>
        <w:rPr>
          <w:rFonts w:ascii="標楷體" w:hAnsi="標楷體" w:eastAsia="標楷體"/>
          <w:sz w:val="28"/>
          <w:szCs w:val="28"/>
        </w:rPr>
        <w:t>四、對下列措施，認為違法或不當致損害其權益者，得準用本法之申訴程序，請求救濟：</w:t>
      </w:r>
    </w:p>
    <w:p>
      <w:pPr>
        <w:pStyle w:val="Style22"/>
        <w:spacing w:lineRule="exact" w:line="460"/>
        <w:ind w:left="2198" w:hanging="546"/>
        <w:jc w:val="both"/>
        <w:rPr>
          <w:rFonts w:ascii="標楷體" w:hAnsi="標楷體" w:eastAsia="標楷體"/>
          <w:sz w:val="28"/>
          <w:szCs w:val="28"/>
        </w:rPr>
      </w:pPr>
      <w:r>
        <w:rPr>
          <w:rFonts w:eastAsia="標楷體" w:ascii="標楷體" w:hAnsi="標楷體"/>
          <w:sz w:val="28"/>
          <w:szCs w:val="28"/>
        </w:rPr>
        <w:t>(</w:t>
      </w:r>
      <w:r>
        <w:rPr>
          <w:rFonts w:ascii="標楷體" w:hAnsi="標楷體" w:eastAsia="標楷體"/>
          <w:sz w:val="28"/>
          <w:szCs w:val="28"/>
        </w:rPr>
        <w:t>一</w:t>
      </w:r>
      <w:r>
        <w:rPr>
          <w:rFonts w:eastAsia="標楷體" w:ascii="標楷體" w:hAnsi="標楷體"/>
          <w:sz w:val="28"/>
          <w:szCs w:val="28"/>
        </w:rPr>
        <w:t>)</w:t>
      </w:r>
      <w:r>
        <w:rPr>
          <w:rFonts w:ascii="標楷體" w:hAnsi="標楷體" w:eastAsia="標楷體"/>
          <w:sz w:val="28"/>
          <w:szCs w:val="28"/>
        </w:rPr>
        <w:t>兼任、代課及代理教師，對各該主管機關或學校有關其個人待遇、終止聘約、停止聘約之執行及退休金之措施。</w:t>
      </w:r>
    </w:p>
    <w:p>
      <w:pPr>
        <w:pStyle w:val="Style22"/>
        <w:spacing w:lineRule="exact" w:line="460"/>
        <w:ind w:left="2198" w:hanging="546"/>
        <w:jc w:val="both"/>
        <w:rPr>
          <w:rFonts w:ascii="標楷體" w:hAnsi="標楷體" w:eastAsia="標楷體"/>
          <w:sz w:val="28"/>
          <w:szCs w:val="28"/>
        </w:rPr>
      </w:pPr>
      <w:r>
        <w:rPr>
          <w:rFonts w:eastAsia="標楷體" w:ascii="標楷體" w:hAnsi="標楷體"/>
          <w:sz w:val="28"/>
          <w:szCs w:val="28"/>
        </w:rPr>
        <w:t>(</w:t>
      </w:r>
      <w:r>
        <w:rPr>
          <w:rFonts w:ascii="標楷體" w:hAnsi="標楷體" w:eastAsia="標楷體"/>
          <w:sz w:val="28"/>
          <w:szCs w:val="28"/>
        </w:rPr>
        <w:t>二</w:t>
      </w:r>
      <w:r>
        <w:rPr>
          <w:rFonts w:eastAsia="標楷體" w:ascii="標楷體" w:hAnsi="標楷體"/>
          <w:sz w:val="28"/>
          <w:szCs w:val="28"/>
        </w:rPr>
        <w:t>)</w:t>
      </w:r>
      <w:r>
        <w:rPr>
          <w:rFonts w:ascii="標楷體" w:hAnsi="標楷體" w:eastAsia="標楷體"/>
          <w:sz w:val="28"/>
          <w:szCs w:val="28"/>
        </w:rPr>
        <w:t>聘期三個月以上代理教師，對學校有關其請假之措施。</w:t>
      </w:r>
    </w:p>
    <w:p>
      <w:pPr>
        <w:pStyle w:val="Style22"/>
        <w:spacing w:lineRule="exact" w:line="460"/>
        <w:ind w:left="2198" w:hanging="546"/>
        <w:jc w:val="both"/>
        <w:rPr>
          <w:rFonts w:ascii="標楷體" w:hAnsi="標楷體" w:eastAsia="標楷體"/>
          <w:sz w:val="28"/>
          <w:szCs w:val="28"/>
        </w:rPr>
      </w:pPr>
      <w:r>
        <w:rPr>
          <w:rFonts w:eastAsia="標楷體" w:ascii="標楷體" w:hAnsi="標楷體"/>
          <w:sz w:val="28"/>
          <w:szCs w:val="28"/>
        </w:rPr>
        <w:t>(</w:t>
      </w:r>
      <w:r>
        <w:rPr>
          <w:rFonts w:ascii="標楷體" w:hAnsi="標楷體" w:eastAsia="標楷體"/>
          <w:sz w:val="28"/>
          <w:szCs w:val="28"/>
        </w:rPr>
        <w:t>三</w:t>
      </w:r>
      <w:r>
        <w:rPr>
          <w:rFonts w:eastAsia="標楷體" w:ascii="標楷體" w:hAnsi="標楷體"/>
          <w:sz w:val="28"/>
          <w:szCs w:val="28"/>
        </w:rPr>
        <w:t>)</w:t>
      </w:r>
      <w:r>
        <w:rPr>
          <w:rFonts w:ascii="標楷體" w:hAnsi="標楷體" w:eastAsia="標楷體"/>
          <w:sz w:val="28"/>
          <w:szCs w:val="28"/>
        </w:rPr>
        <w:t>聘期三個月以上代課、代理教師，對學校有關其平時考核及個人服務成績之措施。</w:t>
      </w:r>
    </w:p>
    <w:p>
      <w:pPr>
        <w:pStyle w:val="Style22"/>
        <w:spacing w:lineRule="exact" w:line="460"/>
        <w:ind w:left="1946" w:hanging="546"/>
        <w:jc w:val="both"/>
        <w:rPr>
          <w:rFonts w:ascii="標楷體" w:hAnsi="標楷體" w:eastAsia="標楷體"/>
          <w:sz w:val="28"/>
          <w:szCs w:val="28"/>
        </w:rPr>
      </w:pPr>
      <w:r>
        <w:rPr>
          <w:rFonts w:ascii="標楷體" w:hAnsi="標楷體" w:eastAsia="標楷體"/>
          <w:sz w:val="28"/>
          <w:szCs w:val="28"/>
        </w:rPr>
        <w:t>五、除本辦法或其他法令另有規定者外，得拒絕參與各該主管機關或學校所指派與教學無關之工作或活動。</w:t>
      </w:r>
    </w:p>
    <w:p>
      <w:pPr>
        <w:pStyle w:val="Style22"/>
        <w:spacing w:lineRule="exact" w:line="460"/>
        <w:ind w:left="1946" w:hanging="546"/>
        <w:jc w:val="both"/>
        <w:rPr/>
      </w:pPr>
      <w:r>
        <w:rPr>
          <w:rStyle w:val="Style14"/>
          <w:rFonts w:ascii="標楷體" w:hAnsi="標楷體" w:eastAsia="標楷體"/>
          <w:sz w:val="28"/>
          <w:szCs w:val="28"/>
        </w:rPr>
        <w:t>六、依法執行職務涉訟時，其服務學校應輔助其延聘律師為其辯護及提供法律上之協助，並準用教師因公涉訟輔助辦法規定。</w:t>
      </w:r>
    </w:p>
    <w:p>
      <w:pPr>
        <w:pStyle w:val="Style22"/>
        <w:spacing w:lineRule="exact" w:line="460"/>
        <w:ind w:left="1722" w:hanging="1696"/>
        <w:jc w:val="both"/>
        <w:rPr/>
      </w:pPr>
      <w:r>
        <w:rPr>
          <w:rStyle w:val="Style14"/>
          <w:rFonts w:ascii="標楷體" w:hAnsi="標楷體" w:eastAsia="標楷體"/>
          <w:sz w:val="28"/>
          <w:szCs w:val="28"/>
        </w:rPr>
        <w:t>第十六條之二</w:t>
      </w:r>
      <w:r>
        <w:rPr>
          <w:rStyle w:val="Style14"/>
          <w:rFonts w:ascii="標楷體" w:hAnsi="標楷體" w:cs="標楷體" w:eastAsia="標楷體"/>
          <w:color w:val="000000"/>
          <w:sz w:val="28"/>
          <w:szCs w:val="28"/>
        </w:rPr>
        <w:t>　　</w:t>
      </w:r>
      <w:r>
        <w:rPr>
          <w:rStyle w:val="Style14"/>
          <w:rFonts w:ascii="標楷體" w:hAnsi="標楷體" w:eastAsia="標楷體"/>
          <w:sz w:val="28"/>
          <w:szCs w:val="28"/>
        </w:rPr>
        <w:t>各該主管機關就主管之學校聘期為一學期或一學年未兼任學校行政職務代理教師，於學生寒暑假期間之到校，準用教師請假規則第十二條規定。但依第二項辦理者，不在此限。</w:t>
      </w:r>
    </w:p>
    <w:p>
      <w:pPr>
        <w:pStyle w:val="Style22"/>
        <w:spacing w:lineRule="exact" w:line="460"/>
        <w:ind w:left="1722" w:firstLine="588"/>
        <w:jc w:val="both"/>
        <w:rPr>
          <w:rFonts w:ascii="標楷體" w:hAnsi="標楷體" w:eastAsia="標楷體"/>
          <w:sz w:val="28"/>
          <w:szCs w:val="28"/>
        </w:rPr>
      </w:pPr>
      <w:r>
        <w:rPr>
          <w:rFonts w:ascii="標楷體" w:hAnsi="標楷體" w:eastAsia="標楷體"/>
          <w:sz w:val="28"/>
          <w:szCs w:val="28"/>
        </w:rPr>
        <w:t>未採前項規定之直轄市、縣</w:t>
      </w:r>
      <w:r>
        <w:rPr>
          <w:rFonts w:eastAsia="標楷體" w:ascii="標楷體" w:hAnsi="標楷體"/>
          <w:sz w:val="28"/>
          <w:szCs w:val="28"/>
        </w:rPr>
        <w:t>(</w:t>
      </w:r>
      <w:r>
        <w:rPr>
          <w:rFonts w:ascii="標楷體" w:hAnsi="標楷體" w:eastAsia="標楷體"/>
          <w:sz w:val="28"/>
          <w:szCs w:val="28"/>
        </w:rPr>
        <w:t>市</w:t>
      </w:r>
      <w:r>
        <w:rPr>
          <w:rFonts w:eastAsia="標楷體" w:ascii="標楷體" w:hAnsi="標楷體"/>
          <w:sz w:val="28"/>
          <w:szCs w:val="28"/>
        </w:rPr>
        <w:t>)</w:t>
      </w:r>
      <w:r>
        <w:rPr>
          <w:rFonts w:ascii="標楷體" w:hAnsi="標楷體" w:eastAsia="標楷體"/>
          <w:sz w:val="28"/>
          <w:szCs w:val="28"/>
        </w:rPr>
        <w:t>主管機關，基於學生照顧、學習輔導及學習活動之需要，得依下列規定就主管之學校，比照行政院人事行政總處公告之行政機關辦公日辦理：</w:t>
      </w:r>
    </w:p>
    <w:p>
      <w:pPr>
        <w:pStyle w:val="Style22"/>
        <w:spacing w:lineRule="exact" w:line="460"/>
        <w:ind w:left="2338" w:hanging="574"/>
        <w:jc w:val="both"/>
        <w:rPr/>
      </w:pPr>
      <w:r>
        <w:rPr>
          <w:rStyle w:val="Style14"/>
          <w:rFonts w:ascii="標楷體" w:hAnsi="標楷體" w:eastAsia="標楷體"/>
          <w:sz w:val="28"/>
          <w:szCs w:val="28"/>
        </w:rPr>
        <w:t>一、</w:t>
      </w:r>
      <w:r>
        <w:rPr>
          <w:rStyle w:val="Style14"/>
          <w:rFonts w:ascii="標楷體" w:hAnsi="標楷體" w:cs="標楷體" w:eastAsia="標楷體"/>
          <w:sz w:val="28"/>
          <w:szCs w:val="28"/>
        </w:rPr>
        <w:t>以辦理學生照顧、學習輔導及學習活動之相關事項為限</w:t>
      </w:r>
      <w:r>
        <w:rPr>
          <w:rStyle w:val="Style14"/>
          <w:rFonts w:ascii="標楷體" w:hAnsi="標楷體" w:eastAsia="標楷體"/>
          <w:sz w:val="28"/>
          <w:szCs w:val="28"/>
        </w:rPr>
        <w:t>。</w:t>
      </w:r>
    </w:p>
    <w:p>
      <w:pPr>
        <w:pStyle w:val="Style22"/>
        <w:spacing w:lineRule="exact" w:line="460"/>
        <w:ind w:left="2338" w:hanging="574"/>
        <w:jc w:val="both"/>
        <w:rPr/>
      </w:pPr>
      <w:r>
        <w:rPr>
          <w:rStyle w:val="Style14"/>
          <w:rFonts w:ascii="標楷體" w:hAnsi="標楷體" w:eastAsia="標楷體"/>
          <w:sz w:val="28"/>
          <w:szCs w:val="28"/>
        </w:rPr>
        <w:t>二、</w:t>
      </w:r>
      <w:r>
        <w:rPr>
          <w:rStyle w:val="Style14"/>
          <w:rFonts w:ascii="標楷體" w:hAnsi="標楷體" w:cs="標楷體" w:eastAsia="標楷體"/>
          <w:sz w:val="28"/>
          <w:szCs w:val="28"/>
        </w:rPr>
        <w:t>準用行政院與所屬中央及地方各機關聘僱人員給假辦法（以下簡稱約僱辦法）之規定給予慰勞假</w:t>
      </w:r>
      <w:r>
        <w:rPr>
          <w:rStyle w:val="Style14"/>
          <w:rFonts w:ascii="標楷體" w:hAnsi="標楷體" w:eastAsia="標楷體"/>
          <w:sz w:val="28"/>
          <w:szCs w:val="28"/>
        </w:rPr>
        <w:t>。</w:t>
      </w:r>
    </w:p>
    <w:p>
      <w:pPr>
        <w:pStyle w:val="Style22"/>
        <w:spacing w:lineRule="exact" w:line="460"/>
        <w:ind w:left="2338" w:hanging="574"/>
        <w:jc w:val="both"/>
        <w:rPr/>
      </w:pPr>
      <w:r>
        <w:rPr>
          <w:rStyle w:val="Style14"/>
          <w:rFonts w:ascii="標楷體" w:hAnsi="標楷體" w:eastAsia="標楷體"/>
          <w:sz w:val="28"/>
          <w:szCs w:val="28"/>
        </w:rPr>
        <w:t>三、</w:t>
      </w:r>
      <w:r>
        <w:rPr>
          <w:rStyle w:val="Style14"/>
          <w:rFonts w:ascii="標楷體" w:hAnsi="標楷體" w:cs="標楷體" w:eastAsia="標楷體"/>
          <w:sz w:val="28"/>
          <w:szCs w:val="28"/>
        </w:rPr>
        <w:t>前款慰勞假應於寒暑假實施，且不給予慰勞假補助費；慰勞假未休畢者，不予保留，亦不給予未休畢慰勞假加班費</w:t>
      </w:r>
      <w:r>
        <w:rPr>
          <w:rStyle w:val="Style14"/>
          <w:rFonts w:ascii="標楷體" w:hAnsi="標楷體" w:eastAsia="標楷體"/>
          <w:sz w:val="28"/>
          <w:szCs w:val="28"/>
        </w:rPr>
        <w:t>。</w:t>
      </w:r>
    </w:p>
    <w:p>
      <w:pPr>
        <w:pStyle w:val="Style22"/>
        <w:spacing w:lineRule="exact" w:line="460"/>
        <w:ind w:left="1722" w:firstLine="588"/>
        <w:jc w:val="both"/>
        <w:rPr>
          <w:rFonts w:ascii="標楷體" w:hAnsi="標楷體" w:eastAsia="標楷體"/>
          <w:sz w:val="28"/>
          <w:szCs w:val="28"/>
        </w:rPr>
      </w:pPr>
      <w:r>
        <w:rPr>
          <w:rFonts w:ascii="標楷體" w:hAnsi="標楷體" w:eastAsia="標楷體"/>
          <w:sz w:val="28"/>
          <w:szCs w:val="28"/>
        </w:rPr>
        <w:t>聘期為三個月以上代理教師，其給假，準用約僱辦法第三條規定；其留職停薪，適用性別工作平等法之規定，並應於聘約中事先約定。</w:t>
      </w:r>
    </w:p>
    <w:p>
      <w:pPr>
        <w:pStyle w:val="Style22"/>
        <w:spacing w:lineRule="exact" w:line="460"/>
        <w:ind w:left="1722" w:firstLine="588"/>
        <w:jc w:val="both"/>
        <w:rPr>
          <w:rFonts w:ascii="標楷體" w:hAnsi="標楷體" w:eastAsia="標楷體"/>
          <w:sz w:val="28"/>
          <w:szCs w:val="28"/>
        </w:rPr>
      </w:pPr>
      <w:r>
        <w:rPr>
          <w:rFonts w:ascii="標楷體" w:hAnsi="標楷體" w:eastAsia="標楷體"/>
          <w:sz w:val="28"/>
          <w:szCs w:val="28"/>
        </w:rPr>
        <w:t>代理教師經主管機關核准兼任學校行政職務者，準用教師請假規則第八條，給予休假、休假補助費及未休假加班費。</w:t>
      </w:r>
    </w:p>
    <w:p>
      <w:pPr>
        <w:pStyle w:val="Style22"/>
        <w:spacing w:lineRule="exact" w:line="460"/>
        <w:ind w:left="1722" w:firstLine="588"/>
        <w:jc w:val="both"/>
        <w:rPr>
          <w:rFonts w:ascii="標楷體" w:hAnsi="標楷體" w:eastAsia="標楷體"/>
          <w:sz w:val="28"/>
          <w:szCs w:val="28"/>
        </w:rPr>
      </w:pPr>
      <w:r>
        <w:rPr>
          <w:rFonts w:ascii="標楷體" w:hAnsi="標楷體" w:eastAsia="標楷體"/>
          <w:sz w:val="28"/>
          <w:szCs w:val="28"/>
        </w:rPr>
        <w:t>第二項第二款慰勞假及前項休假年資，得併計代理教師於其他學校任教年資。</w:t>
      </w:r>
    </w:p>
    <w:p>
      <w:pPr>
        <w:pStyle w:val="Style22"/>
        <w:spacing w:lineRule="exact" w:line="460"/>
        <w:ind w:left="280" w:hanging="280"/>
        <w:jc w:val="both"/>
        <w:rPr/>
      </w:pPr>
      <w:r>
        <w:rPr>
          <w:rStyle w:val="Style14"/>
          <w:rFonts w:ascii="標楷體" w:hAnsi="標楷體" w:eastAsia="標楷體"/>
          <w:spacing w:val="93"/>
          <w:kern w:val="0"/>
          <w:sz w:val="28"/>
          <w:szCs w:val="28"/>
        </w:rPr>
        <w:t>第十九</w:t>
      </w:r>
      <w:r>
        <w:rPr>
          <w:rStyle w:val="Style14"/>
          <w:rFonts w:ascii="標楷體" w:hAnsi="標楷體" w:eastAsia="標楷體"/>
          <w:spacing w:val="2"/>
          <w:kern w:val="0"/>
          <w:sz w:val="28"/>
          <w:szCs w:val="28"/>
        </w:rPr>
        <w:t>條</w:t>
      </w:r>
      <w:r>
        <w:rPr>
          <w:rStyle w:val="Style14"/>
          <w:rFonts w:ascii="標楷體" w:hAnsi="標楷體" w:cs="標楷體" w:eastAsia="標楷體"/>
          <w:color w:val="000000"/>
          <w:sz w:val="28"/>
          <w:szCs w:val="28"/>
        </w:rPr>
        <w:t>　　</w:t>
      </w:r>
      <w:r>
        <w:rPr>
          <w:rStyle w:val="Style14"/>
          <w:rFonts w:ascii="標楷體" w:hAnsi="標楷體" w:eastAsia="標楷體"/>
          <w:sz w:val="28"/>
          <w:szCs w:val="28"/>
        </w:rPr>
        <w:t>本辦法自發布日施行。</w:t>
      </w:r>
    </w:p>
    <w:p>
      <w:pPr>
        <w:pStyle w:val="Style22"/>
        <w:spacing w:lineRule="exact" w:line="460" w:before="0" w:after="140"/>
        <w:ind w:left="1386" w:firstLine="546"/>
        <w:jc w:val="both"/>
        <w:rPr/>
      </w:pPr>
      <w:r>
        <w:rPr>
          <w:rStyle w:val="Style14"/>
          <w:rFonts w:ascii="標楷體" w:hAnsi="標楷體" w:eastAsia="標楷體"/>
          <w:sz w:val="28"/>
          <w:szCs w:val="28"/>
        </w:rPr>
        <w:t>本辦法中華民國一百十二年六月十九日修正發布之條文，自一百十二年八月一日施行。</w:t>
      </w:r>
    </w:p>
    <w:sectPr>
      <w:type w:val="nextPage"/>
      <w:pgSz w:w="11906" w:h="16838"/>
      <w:pgMar w:left="1701" w:right="1418" w:header="0" w:top="1418" w:footer="0" w:bottom="1418"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mbria">
    <w:charset w:val="88"/>
    <w:family w:val="roman"/>
    <w:pitch w:val="variable"/>
  </w:font>
  <w:font w:name="Courier New">
    <w:charset w:val="88"/>
    <w:family w:val="modern"/>
    <w:pitch w:val="fixed"/>
  </w:font>
  <w:font w:name="Calibri">
    <w:charset w:val="88"/>
    <w:family w:val="swiss"/>
    <w:pitch w:val="variable"/>
  </w:font>
  <w:font w:name="Arial">
    <w:charset w:val="88"/>
    <w:family w:val="swiss"/>
    <w:pitch w:val="variable"/>
  </w:font>
  <w:font w:name="標楷體">
    <w:charset w:val="88"/>
    <w:family w:val="script"/>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Style23"/>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480"/>
  <w:compat>
    <w:doNotExpandShiftReturn/>
  </w:compat>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Lucida Sans"/>
        <w:kern w:val="2"/>
        <w:sz w:val="24"/>
        <w:szCs w:val="24"/>
        <w:lang w:val="en-US" w:eastAsia="zh-TW" w:bidi="hi-IN"/>
      </w:rPr>
    </w:rPrDefault>
    <w:pPrDefault>
      <w:pPr>
        <w:suppressAutoHyphens w:val="false"/>
        <w:textAlignment w:val="baseline"/>
      </w:pPr>
    </w:pPrDefault>
  </w:docDefaults>
  <w:style w:type="paragraph" w:styleId="Normal">
    <w:name w:val="Normal"/>
    <w:qFormat/>
    <w:pPr>
      <w:keepNext w:val="false"/>
      <w:keepLines w:val="false"/>
      <w:pageBreakBefore w:val="false"/>
      <w:widowControl/>
      <w:pBdr/>
      <w:shd w:fill="auto" w:val="clear"/>
      <w:tabs>
        <w:tab w:val="clear" w:pos="480"/>
      </w:tabs>
      <w:suppressAutoHyphens w:val="false"/>
      <w:kinsoku w:val="true"/>
      <w:overflowPunct w:val="true"/>
      <w:autoSpaceDE w:val="true"/>
      <w:bidi w:val="0"/>
      <w:snapToGrid w:val="true"/>
      <w:spacing w:lineRule="exact" w:line="460"/>
      <w:ind w:left="3810" w:hanging="482"/>
      <w:jc w:val="left"/>
      <w:textAlignment w:val="baseline"/>
    </w:pPr>
    <w:rPr>
      <w:rFonts w:ascii="Liberation Serif" w:hAnsi="Liberation Serif" w:eastAsia="新細明體" w:cs="Lucida Sans"/>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vertAlign w:val="baseline"/>
      <w:em w:val="none"/>
      <w:lang w:val="en-US" w:eastAsia="zh-TW" w:bidi="hi-IN"/>
    </w:rPr>
  </w:style>
  <w:style w:type="character" w:styleId="Style14">
    <w:name w:val="預設段落字型"/>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u w:val="none"/>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color w:val="00000A"/>
    </w:rPr>
  </w:style>
  <w:style w:type="character" w:styleId="WW8Num6z1">
    <w:name w:val="WW8Num6z1"/>
    <w:qFormat/>
    <w:rPr>
      <w:b/>
      <w:color w:val="00000A"/>
      <w:lang w:val="en-US"/>
    </w:rPr>
  </w:style>
  <w:style w:type="character" w:styleId="WW8Num6z2">
    <w:name w:val="WW8Num6z2"/>
    <w:qFormat/>
    <w:rPr>
      <w:rFonts w:eastAsia="標楷體" w:cs="Times New Roman"/>
      <w:strike w:val="false"/>
      <w:dstrike w:val="false"/>
      <w:color w:val="000000"/>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b w:val="false"/>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eastAsia="標楷體" w:cs="Times New Roman"/>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b/>
      <w:u w:val="none"/>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color w:val="00000A"/>
    </w:rPr>
  </w:style>
  <w:style w:type="character" w:styleId="WW8Num16z1">
    <w:name w:val="WW8Num16z1"/>
    <w:qFormat/>
    <w:rPr>
      <w:b/>
      <w:color w:val="00000A"/>
    </w:rPr>
  </w:style>
  <w:style w:type="character" w:styleId="WW8Num16z2">
    <w:name w:val="WW8Num16z2"/>
    <w:qFormat/>
    <w:rPr/>
  </w:style>
  <w:style w:type="character" w:styleId="WW8Num16z3">
    <w:name w:val="WW8Num16z3"/>
    <w:qFormat/>
    <w:rPr/>
  </w:style>
  <w:style w:type="character" w:styleId="WW8Num16z4">
    <w:name w:val="WW8Num16z4"/>
    <w:qFormat/>
    <w:rPr>
      <w:rFonts w:eastAsia="標楷體"/>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Style15">
    <w:name w:val="頁首 字元"/>
    <w:qFormat/>
    <w:rPr>
      <w:sz w:val="20"/>
      <w:szCs w:val="20"/>
    </w:rPr>
  </w:style>
  <w:style w:type="character" w:styleId="Style16">
    <w:name w:val="頁尾 字元"/>
    <w:qFormat/>
    <w:rPr>
      <w:sz w:val="20"/>
      <w:szCs w:val="20"/>
    </w:rPr>
  </w:style>
  <w:style w:type="character" w:styleId="Style17">
    <w:name w:val="標題 字元"/>
    <w:qFormat/>
    <w:rPr>
      <w:rFonts w:ascii="Cambria" w:hAnsi="Cambria" w:eastAsia="新細明體;PMingLiU" w:cs="Times New Roman"/>
      <w:b/>
      <w:bCs/>
      <w:sz w:val="32"/>
      <w:szCs w:val="32"/>
    </w:rPr>
  </w:style>
  <w:style w:type="character" w:styleId="HTML">
    <w:name w:val="HTML 預設格式 字元"/>
    <w:qFormat/>
    <w:rPr>
      <w:rFonts w:ascii="Courier New" w:hAnsi="Courier New" w:eastAsia="Courier New" w:cs="Courier New"/>
      <w:sz w:val="20"/>
      <w:szCs w:val="20"/>
    </w:rPr>
  </w:style>
  <w:style w:type="character" w:styleId="Style18">
    <w:name w:val="註解方塊文字 字元"/>
    <w:qFormat/>
    <w:rPr>
      <w:rFonts w:ascii="Cambria" w:hAnsi="Cambria" w:eastAsia="新細明體;PMingLiU" w:cs="Times New Roman"/>
      <w:sz w:val="18"/>
      <w:szCs w:val="18"/>
    </w:rPr>
  </w:style>
  <w:style w:type="character" w:styleId="Style19">
    <w:name w:val="註解參照"/>
    <w:qFormat/>
    <w:rPr>
      <w:sz w:val="18"/>
      <w:szCs w:val="18"/>
    </w:rPr>
  </w:style>
  <w:style w:type="character" w:styleId="Style20">
    <w:name w:val="註解文字 字元"/>
    <w:qFormat/>
    <w:rPr>
      <w:kern w:val="2"/>
      <w:sz w:val="24"/>
      <w:szCs w:val="22"/>
    </w:rPr>
  </w:style>
  <w:style w:type="character" w:styleId="Style21">
    <w:name w:val="註解主旨 字元"/>
    <w:qFormat/>
    <w:rPr>
      <w:b/>
      <w:bCs/>
      <w:kern w:val="2"/>
      <w:sz w:val="24"/>
      <w:szCs w:val="22"/>
    </w:rPr>
  </w:style>
  <w:style w:type="character" w:styleId="ListLabel1">
    <w:name w:val="ListLabel 1"/>
    <w:qFormat/>
    <w:rPr>
      <w:rFonts w:eastAsia="標楷體" w:cs="Times New Roman"/>
    </w:rPr>
  </w:style>
  <w:style w:type="character" w:styleId="ListLabel2">
    <w:name w:val="ListLabel 2"/>
    <w:qFormat/>
    <w:rPr>
      <w:color w:val="00000A"/>
    </w:rPr>
  </w:style>
  <w:style w:type="character" w:styleId="ListLabel3">
    <w:name w:val="ListLabel 3"/>
    <w:qFormat/>
    <w:rPr>
      <w:b/>
      <w:color w:val="00000A"/>
      <w:lang w:val="en-US"/>
    </w:rPr>
  </w:style>
  <w:style w:type="character" w:styleId="ListLabel4">
    <w:name w:val="ListLabel 4"/>
    <w:qFormat/>
    <w:rPr>
      <w:rFonts w:eastAsia="標楷體" w:cs="Times New Roman"/>
      <w:strike w:val="false"/>
      <w:dstrike w:val="false"/>
      <w:color w:val="000000"/>
    </w:rPr>
  </w:style>
  <w:style w:type="character" w:styleId="ListLabel5">
    <w:name w:val="ListLabel 5"/>
    <w:qFormat/>
    <w:rPr>
      <w:b/>
      <w:u w:val="none"/>
    </w:rPr>
  </w:style>
  <w:style w:type="character" w:styleId="ListLabel6">
    <w:name w:val="ListLabel 6"/>
    <w:qFormat/>
    <w:rPr>
      <w:b w:val="false"/>
    </w:rPr>
  </w:style>
  <w:style w:type="character" w:styleId="ListLabel7">
    <w:name w:val="ListLabel 7"/>
    <w:qFormat/>
    <w:rPr>
      <w:b/>
      <w:color w:val="00000A"/>
    </w:rPr>
  </w:style>
  <w:style w:type="character" w:styleId="ListLabel8">
    <w:name w:val="ListLabel 8"/>
    <w:qFormat/>
    <w:rPr>
      <w:rFonts w:eastAsia="標楷體"/>
    </w:rPr>
  </w:style>
  <w:style w:type="character" w:styleId="ListLabel9">
    <w:name w:val="ListLabel 9"/>
    <w:qFormat/>
    <w:rPr>
      <w:b/>
      <w:u w:val="none"/>
    </w:rPr>
  </w:style>
  <w:style w:type="character" w:styleId="ListLabel10">
    <w:name w:val="ListLabel 10"/>
    <w:qFormat/>
    <w:rPr>
      <w:color w:val="00000A"/>
    </w:rPr>
  </w:style>
  <w:style w:type="character" w:styleId="ListLabel11">
    <w:name w:val="ListLabel 11"/>
    <w:qFormat/>
    <w:rPr>
      <w:b/>
      <w:color w:val="00000A"/>
      <w:lang w:val="en-US"/>
    </w:rPr>
  </w:style>
  <w:style w:type="character" w:styleId="ListLabel12">
    <w:name w:val="ListLabel 12"/>
    <w:qFormat/>
    <w:rPr>
      <w:rFonts w:eastAsia="標楷體" w:cs="Times New Roman"/>
      <w:strike w:val="false"/>
      <w:dstrike w:val="false"/>
      <w:color w:val="000000"/>
    </w:rPr>
  </w:style>
  <w:style w:type="character" w:styleId="ListLabel13">
    <w:name w:val="ListLabel 13"/>
    <w:qFormat/>
    <w:rPr>
      <w:b w:val="false"/>
    </w:rPr>
  </w:style>
  <w:style w:type="character" w:styleId="ListLabel14">
    <w:name w:val="ListLabel 14"/>
    <w:qFormat/>
    <w:rPr>
      <w:rFonts w:eastAsia="標楷體" w:cs="Times New Roman"/>
    </w:rPr>
  </w:style>
  <w:style w:type="character" w:styleId="ListLabel15">
    <w:name w:val="ListLabel 15"/>
    <w:qFormat/>
    <w:rPr>
      <w:b/>
      <w:u w:val="none"/>
    </w:rPr>
  </w:style>
  <w:style w:type="character" w:styleId="ListLabel16">
    <w:name w:val="ListLabel 16"/>
    <w:qFormat/>
    <w:rPr>
      <w:color w:val="00000A"/>
    </w:rPr>
  </w:style>
  <w:style w:type="character" w:styleId="ListLabel17">
    <w:name w:val="ListLabel 17"/>
    <w:qFormat/>
    <w:rPr>
      <w:b/>
      <w:color w:val="00000A"/>
    </w:rPr>
  </w:style>
  <w:style w:type="character" w:styleId="ListLabel18">
    <w:name w:val="ListLabel 18"/>
    <w:qFormat/>
    <w:rPr>
      <w:rFonts w:eastAsia="標楷體"/>
    </w:rPr>
  </w:style>
  <w:style w:type="character" w:styleId="WWCharLFO23LVL1">
    <w:name w:val="WW_CharLFO23LVL1"/>
    <w:qFormat/>
    <w:rPr>
      <w:b/>
      <w:u w:val="none"/>
    </w:rPr>
  </w:style>
  <w:style w:type="character" w:styleId="WWCharLFO25LVL1">
    <w:name w:val="WW_CharLFO25LVL1"/>
    <w:qFormat/>
    <w:rPr>
      <w:color w:val="00000A"/>
    </w:rPr>
  </w:style>
  <w:style w:type="character" w:styleId="WWCharLFO25LVL2">
    <w:name w:val="WW_CharLFO25LVL2"/>
    <w:qFormat/>
    <w:rPr>
      <w:b/>
      <w:color w:val="00000A"/>
      <w:lang w:val="en-US"/>
    </w:rPr>
  </w:style>
  <w:style w:type="character" w:styleId="WWCharLFO25LVL3">
    <w:name w:val="WW_CharLFO25LVL3"/>
    <w:qFormat/>
    <w:rPr>
      <w:rFonts w:eastAsia="標楷體" w:cs="Times New Roman"/>
      <w:strike w:val="false"/>
      <w:dstrike w:val="false"/>
      <w:color w:val="000000"/>
    </w:rPr>
  </w:style>
  <w:style w:type="character" w:styleId="WWCharLFO26LVL1">
    <w:name w:val="WW_CharLFO26LVL1"/>
    <w:qFormat/>
    <w:rPr>
      <w:b w:val="false"/>
    </w:rPr>
  </w:style>
  <w:style w:type="character" w:styleId="WWCharLFO27LVL1">
    <w:name w:val="WW_CharLFO27LVL1"/>
    <w:qFormat/>
    <w:rPr>
      <w:rFonts w:eastAsia="標楷體" w:cs="Times New Roman"/>
    </w:rPr>
  </w:style>
  <w:style w:type="character" w:styleId="WWCharLFO33LVL1">
    <w:name w:val="WW_CharLFO33LVL1"/>
    <w:qFormat/>
    <w:rPr>
      <w:b/>
      <w:u w:val="none"/>
    </w:rPr>
  </w:style>
  <w:style w:type="character" w:styleId="WWCharLFO35LVL1">
    <w:name w:val="WW_CharLFO35LVL1"/>
    <w:qFormat/>
    <w:rPr>
      <w:color w:val="00000A"/>
    </w:rPr>
  </w:style>
  <w:style w:type="character" w:styleId="WWCharLFO35LVL2">
    <w:name w:val="WW_CharLFO35LVL2"/>
    <w:qFormat/>
    <w:rPr>
      <w:b/>
      <w:color w:val="00000A"/>
    </w:rPr>
  </w:style>
  <w:style w:type="character" w:styleId="WWCharLFO35LVL5">
    <w:name w:val="WW_CharLFO35LVL5"/>
    <w:qFormat/>
    <w:rPr>
      <w:rFonts w:eastAsia="標楷體"/>
    </w:rPr>
  </w:style>
  <w:style w:type="paragraph" w:styleId="Style22">
    <w:name w:val="Body Text"/>
    <w:basedOn w:val="Normal"/>
    <w:pPr>
      <w:suppressAutoHyphens w:val="false"/>
      <w:spacing w:lineRule="auto" w:line="276" w:before="0" w:after="140"/>
    </w:pPr>
    <w:rPr/>
  </w:style>
  <w:style w:type="paragraph" w:styleId="Style23">
    <w:name w:val="標題"/>
    <w:basedOn w:val="Standard"/>
    <w:next w:val="Style29"/>
    <w:qFormat/>
    <w:pPr>
      <w:numPr>
        <w:ilvl w:val="0"/>
        <w:numId w:val="1"/>
      </w:numPr>
      <w:suppressAutoHyphens w:val="true"/>
      <w:spacing w:before="240" w:after="60"/>
      <w:jc w:val="center"/>
      <w:outlineLvl w:val="0"/>
    </w:pPr>
    <w:rPr>
      <w:rFonts w:ascii="Cambria" w:hAnsi="Cambria" w:eastAsia="Cambria" w:cs="Cambria"/>
      <w:b/>
      <w:bCs/>
      <w:sz w:val="32"/>
      <w:szCs w:val="32"/>
    </w:rPr>
  </w:style>
  <w:style w:type="paragraph" w:styleId="Style24">
    <w:name w:val="List"/>
    <w:basedOn w:val="Textbody"/>
    <w:pPr>
      <w:suppressAutoHyphens w:val="true"/>
    </w:pPr>
    <w:rPr>
      <w:rFonts w:cs="Mangal"/>
    </w:rPr>
  </w:style>
  <w:style w:type="paragraph" w:styleId="Style25">
    <w:name w:val="標號"/>
    <w:basedOn w:val="Standard"/>
    <w:qFormat/>
    <w:pPr>
      <w:suppressLineNumbers/>
      <w:suppressAutoHyphens w:val="true"/>
      <w:spacing w:before="120" w:after="120"/>
    </w:pPr>
    <w:rPr>
      <w:rFonts w:cs="Mangal"/>
      <w:i/>
      <w:iCs/>
      <w:szCs w:val="24"/>
    </w:rPr>
  </w:style>
  <w:style w:type="paragraph" w:styleId="Style26">
    <w:name w:val="索引"/>
    <w:basedOn w:val="Standard"/>
    <w:qFormat/>
    <w:pPr>
      <w:suppressLineNumbers/>
      <w:suppressAutoHyphens w:val="true"/>
    </w:pPr>
    <w:rPr>
      <w:rFonts w:cs="Lucida Sans"/>
    </w:rPr>
  </w:style>
  <w:style w:type="paragraph" w:styleId="Standard">
    <w:name w:val="Standard"/>
    <w:qFormat/>
    <w:pPr>
      <w:keepNext w:val="false"/>
      <w:keepLines w:val="false"/>
      <w:pageBreakBefore w:val="false"/>
      <w:widowControl/>
      <w:pBdr/>
      <w:shd w:fill="auto" w:val="clear"/>
      <w:tabs>
        <w:tab w:val="clear" w:pos="480"/>
      </w:tabs>
      <w:suppressAutoHyphens w:val="true"/>
      <w:kinsoku w:val="true"/>
      <w:overflowPunct w:val="true"/>
      <w:autoSpaceDE w:val="true"/>
      <w:bidi w:val="0"/>
      <w:snapToGrid w:val="true"/>
      <w:spacing w:lineRule="exact" w:line="460"/>
      <w:ind w:left="3810" w:hanging="482"/>
      <w:jc w:val="left"/>
      <w:textAlignment w:val="baseline"/>
    </w:pPr>
    <w:rPr>
      <w:rFonts w:ascii="Calibri" w:hAnsi="Calibri" w:eastAsia="新細明體;PMingLiU"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2"/>
      <w:u w:val="none"/>
      <w:vertAlign w:val="baseline"/>
      <w:em w:val="none"/>
      <w:lang w:bidi="ar-SA" w:val="en-US" w:eastAsia="zh-TW"/>
    </w:rPr>
  </w:style>
  <w:style w:type="paragraph" w:styleId="Textbody">
    <w:name w:val="Text body"/>
    <w:basedOn w:val="Standard"/>
    <w:qFormat/>
    <w:pPr>
      <w:suppressAutoHyphens w:val="true"/>
      <w:spacing w:before="0" w:after="120"/>
    </w:pPr>
    <w:rPr/>
  </w:style>
  <w:style w:type="paragraph" w:styleId="Heading">
    <w:name w:val="Heading"/>
    <w:basedOn w:val="Standard"/>
    <w:next w:val="Textbody"/>
    <w:qFormat/>
    <w:pPr>
      <w:keepNext w:val="true"/>
      <w:suppressAutoHyphens w:val="true"/>
      <w:spacing w:before="240" w:after="120"/>
    </w:pPr>
    <w:rPr>
      <w:rFonts w:ascii="Arial" w:hAnsi="Arial" w:eastAsia="Arial" w:cs="Mangal"/>
      <w:sz w:val="28"/>
      <w:szCs w:val="28"/>
    </w:rPr>
  </w:style>
  <w:style w:type="paragraph" w:styleId="Index">
    <w:name w:val="Index"/>
    <w:basedOn w:val="Standard"/>
    <w:qFormat/>
    <w:pPr>
      <w:suppressLineNumbers/>
      <w:suppressAutoHyphens w:val="true"/>
    </w:pPr>
    <w:rPr>
      <w:rFonts w:cs="Mangal"/>
    </w:rPr>
  </w:style>
  <w:style w:type="paragraph" w:styleId="HeaderandFooter">
    <w:name w:val="Header and Footer"/>
    <w:basedOn w:val="Normal"/>
    <w:qFormat/>
    <w:pPr>
      <w:suppressLineNumbers/>
      <w:tabs>
        <w:tab w:val="center" w:pos="8629" w:leader="none"/>
        <w:tab w:val="right" w:pos="13448" w:leader="none"/>
      </w:tabs>
      <w:suppressAutoHyphens w:val="false"/>
    </w:pPr>
    <w:rPr/>
  </w:style>
  <w:style w:type="paragraph" w:styleId="Style27">
    <w:name w:val="Header"/>
    <w:basedOn w:val="Standard"/>
    <w:pPr>
      <w:suppressLineNumbers/>
      <w:suppressAutoHyphens w:val="true"/>
    </w:pPr>
    <w:rPr>
      <w:sz w:val="20"/>
      <w:szCs w:val="20"/>
    </w:rPr>
  </w:style>
  <w:style w:type="paragraph" w:styleId="Style28">
    <w:name w:val="Footer"/>
    <w:basedOn w:val="Standard"/>
    <w:pPr>
      <w:suppressLineNumbers/>
      <w:suppressAutoHyphens w:val="true"/>
    </w:pPr>
    <w:rPr>
      <w:sz w:val="20"/>
      <w:szCs w:val="20"/>
    </w:rPr>
  </w:style>
  <w:style w:type="paragraph" w:styleId="Style29">
    <w:name w:val="副標題"/>
    <w:basedOn w:val="Heading"/>
    <w:next w:val="Textbody"/>
    <w:qFormat/>
    <w:pPr>
      <w:suppressAutoHyphens w:val="true"/>
      <w:jc w:val="center"/>
    </w:pPr>
    <w:rPr>
      <w:i/>
      <w:iCs/>
    </w:rPr>
  </w:style>
  <w:style w:type="paragraph" w:styleId="HTML1">
    <w:name w:val="HTML 預設格式"/>
    <w:basedOn w:val="Standard"/>
    <w:qFormat/>
    <w:pPr>
      <w:suppressAutoHyphens w:val="true"/>
    </w:pPr>
    <w:rPr>
      <w:rFonts w:ascii="Courier New" w:hAnsi="Courier New" w:eastAsia="Courier New" w:cs="Courier New"/>
      <w:sz w:val="20"/>
      <w:szCs w:val="20"/>
    </w:rPr>
  </w:style>
  <w:style w:type="paragraph" w:styleId="Style30">
    <w:name w:val="清單段落"/>
    <w:basedOn w:val="Standard"/>
    <w:qFormat/>
    <w:pPr>
      <w:suppressAutoHyphens w:val="true"/>
      <w:ind w:left="480" w:hanging="0"/>
    </w:pPr>
    <w:rPr/>
  </w:style>
  <w:style w:type="paragraph" w:styleId="Style31">
    <w:name w:val="註解方塊文字"/>
    <w:basedOn w:val="Standard"/>
    <w:qFormat/>
    <w:pPr>
      <w:suppressAutoHyphens w:val="true"/>
    </w:pPr>
    <w:rPr>
      <w:rFonts w:ascii="Cambria" w:hAnsi="Cambria" w:eastAsia="Cambria" w:cs="Cambria"/>
      <w:sz w:val="18"/>
      <w:szCs w:val="18"/>
    </w:rPr>
  </w:style>
  <w:style w:type="paragraph" w:styleId="Style32">
    <w:name w:val="註解文字"/>
    <w:basedOn w:val="Standard"/>
    <w:qFormat/>
    <w:pPr>
      <w:suppressAutoHyphens w:val="true"/>
    </w:pPr>
    <w:rPr/>
  </w:style>
  <w:style w:type="paragraph" w:styleId="Style33">
    <w:name w:val="註解主旨"/>
    <w:basedOn w:val="Style32"/>
    <w:qFormat/>
    <w:pPr>
      <w:suppressAutoHyphens w:val="true"/>
    </w:pPr>
    <w:rPr>
      <w:b/>
      <w:bCs/>
    </w:rPr>
  </w:style>
  <w:style w:type="paragraph" w:styleId="Default">
    <w:name w:val="Default"/>
    <w:qFormat/>
    <w:pPr>
      <w:keepNext w:val="false"/>
      <w:keepLines w:val="false"/>
      <w:pageBreakBefore w:val="false"/>
      <w:widowControl/>
      <w:pBdr/>
      <w:shd w:fill="auto" w:val="clear"/>
      <w:tabs>
        <w:tab w:val="clear" w:pos="480"/>
      </w:tabs>
      <w:suppressAutoHyphens w:val="true"/>
      <w:kinsoku w:val="true"/>
      <w:overflowPunct w:val="true"/>
      <w:autoSpaceDE w:val="true"/>
      <w:bidi w:val="0"/>
      <w:snapToGrid w:val="true"/>
      <w:spacing w:lineRule="exact" w:line="460"/>
      <w:ind w:left="3810" w:hanging="482"/>
      <w:jc w:val="left"/>
      <w:textAlignment w:val="baseline"/>
    </w:pPr>
    <w:rPr>
      <w:rFonts w:ascii="標楷體" w:hAnsi="標楷體" w:eastAsia="標楷體" w:cs="標楷體"/>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bidi="ar-SA" w:val="en-US" w:eastAsia="zh-TW"/>
    </w:rPr>
  </w:style>
  <w:style w:type="paragraph" w:styleId="TableContents">
    <w:name w:val="Table Contents"/>
    <w:basedOn w:val="Standard"/>
    <w:qFormat/>
    <w:pPr>
      <w:suppressLineNumbers/>
      <w:suppressAutoHyphens w:val="true"/>
    </w:pPr>
    <w:rPr/>
  </w:style>
  <w:style w:type="paragraph" w:styleId="TableHeading">
    <w:name w:val="Table Heading"/>
    <w:basedOn w:val="TableContents"/>
    <w:qFormat/>
    <w:pPr>
      <w:suppressAutoHyphens w:val="true"/>
      <w:jc w:val="center"/>
    </w:pPr>
    <w:rPr>
      <w:b/>
      <w:bCs/>
    </w:rPr>
  </w:style>
  <w:style w:type="paragraph" w:styleId="PreformattedText">
    <w:name w:val="Preformatted Text"/>
    <w:basedOn w:val="Standard"/>
    <w:qFormat/>
    <w:pPr>
      <w:suppressAutoHyphens w:val="true"/>
    </w:pPr>
    <w:rPr>
      <w:rFonts w:ascii="Courier New" w:hAnsi="Courier New" w:eastAsia="細明體;MingLiU" w:cs="Courier New"/>
      <w:sz w:val="20"/>
      <w:szCs w:val="20"/>
    </w:rPr>
  </w:style>
  <w:style w:type="paragraph" w:styleId="Style34">
    <w:name w:val="外框內容"/>
    <w:basedOn w:val="Standard"/>
    <w:qFormat/>
    <w:pPr>
      <w:suppressAutoHyphens w:val="true"/>
    </w:pPr>
    <w:rPr/>
  </w:style>
  <w:style w:type="paragraph" w:styleId="Style35">
    <w:name w:val="表格內容"/>
    <w:basedOn w:val="Standard"/>
    <w:qFormat/>
    <w:pPr>
      <w:suppressLineNumbers/>
      <w:suppressAutoHyphens w:val="true"/>
    </w:pPr>
    <w:rPr/>
  </w:style>
  <w:style w:type="numbering" w:styleId="NoList">
    <w:name w:val="No List"/>
    <w:qFormat/>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LibreOffice/6.2.8.2$Windows_X86_64 LibreOffice_project/f82ddfca21ebc1e222a662a32b25c0c9d20169ee</Application>
  <Pages>3</Pages>
  <Words>168</Words>
  <CharactersWithSpaces>1128</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2023-06-20T07:45:00Z</dcterms:created>
  <dc:creator>moejsmpc</dc:creator>
  <dc:description/>
  <dc:language>zh-TW</dc:language>
  <cp:lastModifiedBy>陳貞臻</cp:lastModifiedBy>
  <cp:lastPrinted>2017-08-22T09:53:00Z</cp:lastPrinted>
  <dcterms:modified xsi:type="dcterms:W3CDTF">2023-06-20T07:45:00Z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