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spacing w:lineRule="atLeast" w:line="0"/>
        <w:jc w:val="center"/>
        <w:rPr/>
      </w:pPr>
      <w:r>
        <w:rPr>
          <w:rStyle w:val="Style13"/>
          <w:rFonts w:ascii="標楷體" w:hAnsi="標楷體" w:eastAsia="標楷體"/>
          <w:sz w:val="28"/>
          <w:szCs w:val="28"/>
        </w:rPr>
        <w:t>附件</w:t>
      </w:r>
      <w:r>
        <w:rPr>
          <w:rStyle w:val="Style13"/>
          <w:rFonts w:eastAsia="標楷體" w:ascii="標楷體" w:hAnsi="標楷體"/>
          <w:sz w:val="28"/>
          <w:szCs w:val="28"/>
        </w:rPr>
        <w:t>2</w:t>
      </w:r>
      <w:r>
        <w:rPr>
          <w:rStyle w:val="Style13"/>
          <w:rFonts w:eastAsia="標楷體" w:ascii="標楷體" w:hAnsi="標楷體"/>
          <w:b/>
          <w:sz w:val="32"/>
          <w:szCs w:val="32"/>
        </w:rPr>
        <w:t xml:space="preserve">  110</w:t>
      </w:r>
      <w:r>
        <w:rPr>
          <w:rStyle w:val="Style13"/>
          <w:rFonts w:ascii="標楷體" w:hAnsi="標楷體" w:eastAsia="標楷體"/>
          <w:b/>
          <w:sz w:val="32"/>
          <w:szCs w:val="32"/>
        </w:rPr>
        <w:t>學年度推動國中小學生數學奠基活動─好好玩數學營計畫經費補助項目及標準</w:t>
      </w:r>
    </w:p>
    <w:p>
      <w:pPr>
        <w:pStyle w:val="Style21"/>
        <w:tabs>
          <w:tab w:val="clear" w:pos="480"/>
        </w:tabs>
        <w:snapToGrid w:val="false"/>
        <w:spacing w:lineRule="exact" w:line="440" w:before="180" w:after="0"/>
        <w:ind w:left="560" w:hanging="56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一、補助項目及標準如下：</w:t>
      </w:r>
    </w:p>
    <w:p>
      <w:pPr>
        <w:pStyle w:val="Style21"/>
        <w:snapToGrid w:val="false"/>
        <w:spacing w:lineRule="exact" w:line="440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eastAsia="標楷體" w:ascii="標楷體" w:hAnsi="標楷體"/>
          <w:b/>
          <w:sz w:val="28"/>
          <w:szCs w:val="28"/>
        </w:rPr>
        <w:t>(</w:t>
      </w:r>
      <w:r>
        <w:rPr>
          <w:rFonts w:ascii="標楷體" w:hAnsi="標楷體" w:eastAsia="標楷體"/>
          <w:b/>
          <w:sz w:val="28"/>
          <w:szCs w:val="28"/>
        </w:rPr>
        <w:t>一</w:t>
      </w:r>
      <w:r>
        <w:rPr>
          <w:rFonts w:eastAsia="標楷體" w:ascii="標楷體" w:hAnsi="標楷體"/>
          <w:b/>
          <w:sz w:val="28"/>
          <w:szCs w:val="28"/>
        </w:rPr>
        <w:t>)</w:t>
      </w:r>
      <w:r>
        <w:rPr>
          <w:rFonts w:ascii="標楷體" w:hAnsi="標楷體" w:eastAsia="標楷體"/>
          <w:b/>
          <w:sz w:val="28"/>
          <w:szCs w:val="28"/>
        </w:rPr>
        <w:t>鐘點費：</w:t>
      </w:r>
    </w:p>
    <w:tbl>
      <w:tblPr>
        <w:tblW w:w="5000" w:type="pct"/>
        <w:jc w:val="left"/>
        <w:tblInd w:w="-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7966"/>
      </w:tblGrid>
      <w:tr>
        <w:trPr>
          <w:tblHeader w:val="true"/>
          <w:trHeight w:val="584" w:hRule="atLeast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Style21"/>
              <w:tabs>
                <w:tab w:val="clear" w:pos="480"/>
                <w:tab w:val="left" w:pos="1620" w:leader="none"/>
              </w:tabs>
              <w:spacing w:lineRule="exact" w:line="440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項目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Style21"/>
              <w:tabs>
                <w:tab w:val="clear" w:pos="480"/>
                <w:tab w:val="left" w:pos="1620" w:leader="none"/>
              </w:tabs>
              <w:spacing w:lineRule="exact" w:line="440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編列基準</w:t>
            </w:r>
          </w:p>
        </w:tc>
      </w:tr>
      <w:tr>
        <w:trPr>
          <w:trHeight w:val="850" w:hRule="atLeast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480"/>
                <w:tab w:val="left" w:pos="1620" w:leader="none"/>
              </w:tabs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主要授課</w:t>
            </w:r>
          </w:p>
          <w:p>
            <w:pPr>
              <w:pStyle w:val="Style21"/>
              <w:tabs>
                <w:tab w:val="clear" w:pos="480"/>
                <w:tab w:val="left" w:pos="1620" w:leader="none"/>
              </w:tabs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教師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480"/>
                <w:tab w:val="left" w:pos="1620" w:leader="none"/>
              </w:tabs>
              <w:jc w:val="both"/>
              <w:rPr/>
            </w:pPr>
            <w:r>
              <w:rPr>
                <w:rStyle w:val="Style13"/>
                <w:rFonts w:ascii="標楷體" w:hAnsi="標楷體" w:eastAsia="標楷體"/>
              </w:rPr>
              <w:t>國中、小：</w:t>
            </w:r>
            <w:r>
              <w:rPr>
                <w:rStyle w:val="Style13"/>
                <w:rFonts w:eastAsia="標楷體" w:ascii="標楷體" w:hAnsi="標楷體"/>
              </w:rPr>
              <w:t>900</w:t>
            </w:r>
            <w:r>
              <w:rPr>
                <w:rStyle w:val="Style13"/>
                <w:rFonts w:ascii="標楷體" w:hAnsi="標楷體" w:eastAsia="標楷體"/>
              </w:rPr>
              <w:t>元</w:t>
            </w:r>
            <w:r>
              <w:rPr>
                <w:rStyle w:val="Style13"/>
                <w:rFonts w:eastAsia="標楷體" w:ascii="標楷體" w:hAnsi="標楷體"/>
              </w:rPr>
              <w:t>/90</w:t>
            </w:r>
            <w:r>
              <w:rPr>
                <w:rStyle w:val="Style13"/>
                <w:rFonts w:ascii="標楷體" w:hAnsi="標楷體" w:eastAsia="標楷體"/>
              </w:rPr>
              <w:t>分鐘</w:t>
            </w:r>
            <w:r>
              <w:rPr>
                <w:rStyle w:val="Style13"/>
                <w:rFonts w:eastAsia="標楷體" w:ascii="標楷體" w:hAnsi="標楷體"/>
              </w:rPr>
              <w:t>/</w:t>
            </w:r>
            <w:r>
              <w:rPr>
                <w:rStyle w:val="Style13"/>
                <w:rFonts w:ascii="標楷體" w:hAnsi="標楷體" w:eastAsia="標楷體"/>
              </w:rPr>
              <w:t>人</w:t>
            </w:r>
          </w:p>
        </w:tc>
      </w:tr>
      <w:tr>
        <w:trPr>
          <w:trHeight w:val="850" w:hRule="atLeast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480"/>
                <w:tab w:val="left" w:pos="1620" w:leader="none"/>
              </w:tabs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協同授課</w:t>
            </w:r>
          </w:p>
          <w:p>
            <w:pPr>
              <w:pStyle w:val="Style21"/>
              <w:tabs>
                <w:tab w:val="clear" w:pos="480"/>
                <w:tab w:val="left" w:pos="1620" w:leader="none"/>
              </w:tabs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教師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480"/>
                <w:tab w:val="left" w:pos="1620" w:leader="none"/>
              </w:tabs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國中、小：</w:t>
            </w:r>
            <w:r>
              <w:rPr>
                <w:rFonts w:eastAsia="標楷體" w:ascii="標楷體" w:hAnsi="標楷體"/>
              </w:rPr>
              <w:t>450</w:t>
            </w:r>
            <w:r>
              <w:rPr>
                <w:rFonts w:ascii="標楷體" w:hAnsi="標楷體" w:eastAsia="標楷體"/>
              </w:rPr>
              <w:t>元</w:t>
            </w:r>
            <w:r>
              <w:rPr>
                <w:rFonts w:eastAsia="標楷體" w:ascii="標楷體" w:hAnsi="標楷體"/>
              </w:rPr>
              <w:t>/90</w:t>
            </w:r>
            <w:r>
              <w:rPr>
                <w:rFonts w:ascii="標楷體" w:hAnsi="標楷體" w:eastAsia="標楷體"/>
              </w:rPr>
              <w:t>分鐘</w:t>
            </w:r>
            <w:r>
              <w:rPr>
                <w:rFonts w:eastAsia="標楷體" w:ascii="標楷體" w:hAnsi="標楷體"/>
              </w:rPr>
              <w:t>/</w:t>
            </w:r>
            <w:r>
              <w:rPr>
                <w:rFonts w:ascii="標楷體" w:hAnsi="標楷體" w:eastAsia="標楷體"/>
              </w:rPr>
              <w:t>人</w:t>
            </w:r>
          </w:p>
        </w:tc>
      </w:tr>
      <w:tr>
        <w:trPr>
          <w:trHeight w:val="2529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480"/>
                <w:tab w:val="left" w:pos="1620" w:leader="none"/>
              </w:tabs>
              <w:jc w:val="both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備註：</w:t>
            </w:r>
          </w:p>
          <w:p>
            <w:pPr>
              <w:pStyle w:val="Style22"/>
              <w:numPr>
                <w:ilvl w:val="0"/>
                <w:numId w:val="2"/>
              </w:numPr>
              <w:tabs>
                <w:tab w:val="left" w:pos="1620" w:leader="none"/>
              </w:tabs>
              <w:ind w:left="500" w:hanging="0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每單元</w:t>
            </w:r>
            <w:r>
              <w:rPr>
                <w:rFonts w:eastAsia="標楷體" w:ascii="標楷體" w:hAnsi="標楷體"/>
                <w:b/>
              </w:rPr>
              <w:t>(1.5</w:t>
            </w:r>
            <w:r>
              <w:rPr>
                <w:rFonts w:ascii="標楷體" w:hAnsi="標楷體" w:eastAsia="標楷體"/>
                <w:b/>
              </w:rPr>
              <w:t>小時</w:t>
            </w:r>
            <w:r>
              <w:rPr>
                <w:rFonts w:eastAsia="標楷體" w:ascii="標楷體" w:hAnsi="標楷體"/>
                <w:b/>
              </w:rPr>
              <w:t>)2</w:t>
            </w:r>
            <w:r>
              <w:rPr>
                <w:rFonts w:ascii="標楷體" w:hAnsi="標楷體" w:eastAsia="標楷體"/>
                <w:b/>
              </w:rPr>
              <w:t>位老師授課，一位主要授課、一位協同授課。</w:t>
            </w:r>
          </w:p>
          <w:p>
            <w:pPr>
              <w:pStyle w:val="Style22"/>
              <w:numPr>
                <w:ilvl w:val="0"/>
                <w:numId w:val="2"/>
              </w:numPr>
              <w:tabs>
                <w:tab w:val="left" w:pos="1620" w:leader="none"/>
              </w:tabs>
              <w:ind w:left="500" w:hanging="0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授課師資不限原學校教師，校際間可互相支援。</w:t>
            </w:r>
          </w:p>
          <w:p>
            <w:pPr>
              <w:pStyle w:val="Style22"/>
              <w:numPr>
                <w:ilvl w:val="0"/>
                <w:numId w:val="3"/>
              </w:numPr>
              <w:tabs>
                <w:tab w:val="left" w:pos="1620" w:leader="none"/>
              </w:tabs>
              <w:ind w:left="500" w:hanging="0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有關學校行政人員擔任計畫講師是否需事先請假及支領鐘點費一案，得依國教署</w:t>
            </w:r>
            <w:r>
              <w:rPr>
                <w:rFonts w:eastAsia="標楷體" w:ascii="標楷體" w:hAnsi="標楷體"/>
                <w:b/>
              </w:rPr>
              <w:t>108</w:t>
            </w:r>
            <w:r>
              <w:rPr>
                <w:rFonts w:ascii="標楷體" w:hAnsi="標楷體" w:eastAsia="標楷體"/>
                <w:b/>
              </w:rPr>
              <w:t>年</w:t>
            </w:r>
            <w:r>
              <w:rPr>
                <w:rFonts w:eastAsia="標楷體" w:ascii="標楷體" w:hAnsi="標楷體"/>
                <w:b/>
              </w:rPr>
              <w:t>7</w:t>
            </w:r>
            <w:r>
              <w:rPr>
                <w:rFonts w:ascii="標楷體" w:hAnsi="標楷體" w:eastAsia="標楷體"/>
                <w:b/>
              </w:rPr>
              <w:t>月</w:t>
            </w:r>
            <w:r>
              <w:rPr>
                <w:rFonts w:eastAsia="標楷體" w:ascii="標楷體" w:hAnsi="標楷體"/>
                <w:b/>
              </w:rPr>
              <w:t>24</w:t>
            </w:r>
            <w:r>
              <w:rPr>
                <w:rFonts w:ascii="標楷體" w:hAnsi="標楷體" w:eastAsia="標楷體"/>
                <w:b/>
              </w:rPr>
              <w:t>日臺教國署國字第</w:t>
            </w:r>
            <w:r>
              <w:rPr>
                <w:rFonts w:eastAsia="標楷體" w:ascii="標楷體" w:hAnsi="標楷體"/>
                <w:b/>
              </w:rPr>
              <w:t>1080080733</w:t>
            </w:r>
            <w:r>
              <w:rPr>
                <w:rFonts w:ascii="標楷體" w:hAnsi="標楷體" w:eastAsia="標楷體"/>
                <w:b/>
              </w:rPr>
              <w:t>號函辦理，說明如下：</w:t>
            </w:r>
          </w:p>
          <w:p>
            <w:pPr>
              <w:pStyle w:val="Style21"/>
              <w:tabs>
                <w:tab w:val="clear" w:pos="480"/>
                <w:tab w:val="left" w:pos="1620" w:leader="none"/>
              </w:tabs>
              <w:ind w:left="1201" w:hanging="1201"/>
              <w:jc w:val="both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(</w:t>
            </w:r>
            <w:r>
              <w:rPr>
                <w:rFonts w:ascii="標楷體" w:hAnsi="標楷體" w:eastAsia="標楷體"/>
                <w:b/>
              </w:rPr>
              <w:t>一</w:t>
            </w:r>
            <w:r>
              <w:rPr>
                <w:rFonts w:eastAsia="標楷體" w:ascii="標楷體" w:hAnsi="標楷體"/>
                <w:b/>
              </w:rPr>
              <w:t>)</w:t>
            </w:r>
            <w:r>
              <w:rPr>
                <w:rFonts w:ascii="標楷體" w:hAnsi="標楷體" w:eastAsia="標楷體"/>
                <w:b/>
              </w:rPr>
              <w:t>校長：兼課得免請假，惟不得支領鐘點費</w:t>
            </w:r>
            <w:r>
              <w:rPr>
                <w:rFonts w:eastAsia="標楷體" w:ascii="標楷體" w:hAnsi="標楷體"/>
                <w:b/>
              </w:rPr>
              <w:t>(</w:t>
            </w:r>
            <w:r>
              <w:rPr>
                <w:rFonts w:ascii="標楷體" w:hAnsi="標楷體" w:eastAsia="標楷體"/>
                <w:b/>
              </w:rPr>
              <w:t>偏遠或特殊地區學校校長如能專長授課，則得支領鐘點費</w:t>
            </w:r>
            <w:r>
              <w:rPr>
                <w:rFonts w:eastAsia="標楷體" w:ascii="標楷體" w:hAnsi="標楷體"/>
                <w:b/>
              </w:rPr>
              <w:t>)</w:t>
            </w:r>
            <w:r>
              <w:rPr>
                <w:rFonts w:ascii="標楷體" w:hAnsi="標楷體" w:eastAsia="標楷體"/>
                <w:b/>
              </w:rPr>
              <w:t>，兼課需報所屬上級主管機關許可，且</w:t>
            </w:r>
            <w:r>
              <w:rPr>
                <w:rFonts w:eastAsia="標楷體" w:ascii="標楷體" w:hAnsi="標楷體"/>
                <w:b/>
              </w:rPr>
              <w:t>1</w:t>
            </w:r>
            <w:r>
              <w:rPr>
                <w:rFonts w:ascii="標楷體" w:hAnsi="標楷體" w:eastAsia="標楷體"/>
                <w:b/>
              </w:rPr>
              <w:t>週不得逾</w:t>
            </w:r>
            <w:r>
              <w:rPr>
                <w:rFonts w:eastAsia="標楷體" w:ascii="標楷體" w:hAnsi="標楷體"/>
                <w:b/>
              </w:rPr>
              <w:t>4</w:t>
            </w:r>
            <w:r>
              <w:rPr>
                <w:rFonts w:ascii="標楷體" w:hAnsi="標楷體" w:eastAsia="標楷體"/>
                <w:b/>
              </w:rPr>
              <w:t>節。</w:t>
            </w:r>
          </w:p>
          <w:p>
            <w:pPr>
              <w:pStyle w:val="Style21"/>
              <w:tabs>
                <w:tab w:val="clear" w:pos="480"/>
                <w:tab w:val="left" w:pos="1620" w:leader="none"/>
              </w:tabs>
              <w:jc w:val="both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  <w:t>(</w:t>
            </w:r>
            <w:r>
              <w:rPr>
                <w:rFonts w:ascii="標楷體" w:hAnsi="標楷體" w:eastAsia="標楷體"/>
                <w:b/>
              </w:rPr>
              <w:t>二</w:t>
            </w:r>
            <w:r>
              <w:rPr>
                <w:rFonts w:eastAsia="標楷體" w:ascii="標楷體" w:hAnsi="標楷體"/>
                <w:b/>
              </w:rPr>
              <w:t>)</w:t>
            </w:r>
            <w:r>
              <w:rPr>
                <w:rFonts w:ascii="標楷體" w:hAnsi="標楷體" w:eastAsia="標楷體"/>
                <w:b/>
              </w:rPr>
              <w:t>兼任行政職務教師：兼課得免請假，並比照補救教學計畫核給鐘點費。</w:t>
            </w:r>
          </w:p>
          <w:p>
            <w:pPr>
              <w:pStyle w:val="Style21"/>
              <w:tabs>
                <w:tab w:val="clear" w:pos="480"/>
                <w:tab w:val="left" w:pos="1620" w:leader="none"/>
              </w:tabs>
              <w:jc w:val="both"/>
              <w:rPr/>
            </w:pPr>
            <w:r>
              <w:rPr>
                <w:rStyle w:val="Style13"/>
                <w:rFonts w:eastAsia="標楷體" w:ascii="標楷體" w:hAnsi="標楷體"/>
                <w:b/>
              </w:rPr>
              <w:t>(</w:t>
            </w:r>
            <w:r>
              <w:rPr>
                <w:rStyle w:val="Style13"/>
                <w:rFonts w:ascii="標楷體" w:hAnsi="標楷體" w:eastAsia="標楷體"/>
                <w:b/>
              </w:rPr>
              <w:t>三</w:t>
            </w:r>
            <w:r>
              <w:rPr>
                <w:rStyle w:val="Style13"/>
                <w:rFonts w:eastAsia="標楷體" w:ascii="標楷體" w:hAnsi="標楷體"/>
                <w:b/>
              </w:rPr>
              <w:t>)</w:t>
            </w:r>
            <w:r>
              <w:rPr>
                <w:rStyle w:val="Style13"/>
                <w:rFonts w:ascii="標楷體" w:hAnsi="標楷體" w:eastAsia="標楷體"/>
                <w:b/>
              </w:rPr>
              <w:t>學校職員：兼課需請假即可支領鐘點費，</w:t>
            </w:r>
            <w:r>
              <w:rPr>
                <w:rStyle w:val="Style13"/>
                <w:rFonts w:eastAsia="標楷體" w:ascii="標楷體" w:hAnsi="標楷體"/>
                <w:b/>
              </w:rPr>
              <w:t>1</w:t>
            </w:r>
            <w:r>
              <w:rPr>
                <w:rStyle w:val="Style13"/>
                <w:rFonts w:ascii="標楷體" w:hAnsi="標楷體" w:eastAsia="標楷體"/>
                <w:b/>
              </w:rPr>
              <w:t>週不得逾</w:t>
            </w:r>
            <w:r>
              <w:rPr>
                <w:rStyle w:val="Style13"/>
                <w:rFonts w:eastAsia="標楷體" w:ascii="標楷體" w:hAnsi="標楷體"/>
                <w:b/>
              </w:rPr>
              <w:t>4</w:t>
            </w:r>
            <w:r>
              <w:rPr>
                <w:rStyle w:val="Style13"/>
                <w:rFonts w:ascii="標楷體" w:hAnsi="標楷體" w:eastAsia="標楷體"/>
                <w:b/>
              </w:rPr>
              <w:t xml:space="preserve">節。 </w:t>
            </w:r>
          </w:p>
        </w:tc>
      </w:tr>
    </w:tbl>
    <w:p>
      <w:pPr>
        <w:pStyle w:val="Style21"/>
        <w:tabs>
          <w:tab w:val="clear" w:pos="480"/>
        </w:tabs>
        <w:snapToGrid w:val="false"/>
        <w:spacing w:lineRule="exact" w:line="440"/>
        <w:ind w:left="561" w:hanging="561"/>
        <w:rPr/>
      </w:pPr>
      <w:r>
        <w:rPr>
          <w:rStyle w:val="Style13"/>
          <w:rFonts w:eastAsia="標楷體" w:ascii="標楷體" w:hAnsi="標楷體"/>
          <w:b/>
          <w:sz w:val="28"/>
          <w:szCs w:val="28"/>
        </w:rPr>
        <w:t>(</w:t>
      </w:r>
      <w:r>
        <w:rPr>
          <w:rStyle w:val="Style13"/>
          <w:rFonts w:ascii="標楷體" w:hAnsi="標楷體" w:eastAsia="標楷體"/>
          <w:b/>
          <w:sz w:val="28"/>
          <w:szCs w:val="28"/>
        </w:rPr>
        <w:t>二</w:t>
      </w:r>
      <w:r>
        <w:rPr>
          <w:rStyle w:val="Style13"/>
          <w:rFonts w:eastAsia="標楷體" w:ascii="標楷體" w:hAnsi="標楷體"/>
          <w:b/>
          <w:sz w:val="28"/>
          <w:szCs w:val="28"/>
        </w:rPr>
        <w:t>)</w:t>
      </w:r>
      <w:r>
        <w:rPr>
          <w:rStyle w:val="Style13"/>
          <w:rFonts w:ascii="標楷體" w:hAnsi="標楷體" w:eastAsia="標楷體"/>
          <w:b/>
          <w:sz w:val="28"/>
          <w:szCs w:val="28"/>
        </w:rPr>
        <w:t>諮詢費：</w:t>
      </w:r>
      <w:r>
        <w:rPr>
          <w:rStyle w:val="Style13"/>
          <w:rFonts w:ascii="標楷體" w:hAnsi="標楷體" w:eastAsia="標楷體"/>
        </w:rPr>
        <w:t>依整體課程及計畫需求依實核支。</w:t>
      </w:r>
    </w:p>
    <w:p>
      <w:pPr>
        <w:pStyle w:val="Style22"/>
        <w:numPr>
          <w:ilvl w:val="0"/>
          <w:numId w:val="4"/>
        </w:numPr>
        <w:snapToGrid w:val="false"/>
        <w:spacing w:lineRule="exact" w:line="440"/>
        <w:ind w:left="709" w:hanging="283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學生學習成效諮詢意見表：</w:t>
      </w:r>
      <w:r>
        <w:rPr>
          <w:rFonts w:eastAsia="標楷體" w:ascii="標楷體" w:hAnsi="標楷體"/>
        </w:rPr>
        <w:t>800</w:t>
      </w:r>
      <w:r>
        <w:rPr>
          <w:rFonts w:ascii="標楷體" w:hAnsi="標楷體" w:eastAsia="標楷體"/>
        </w:rPr>
        <w:t>元</w:t>
      </w:r>
      <w:r>
        <w:rPr>
          <w:rFonts w:eastAsia="標楷體" w:ascii="標楷體" w:hAnsi="標楷體"/>
        </w:rPr>
        <w:t>/</w:t>
      </w:r>
      <w:r>
        <w:rPr>
          <w:rFonts w:ascii="標楷體" w:hAnsi="標楷體" w:eastAsia="標楷體"/>
        </w:rPr>
        <w:t>每班。</w:t>
      </w:r>
    </w:p>
    <w:p>
      <w:pPr>
        <w:pStyle w:val="Style22"/>
        <w:numPr>
          <w:ilvl w:val="0"/>
          <w:numId w:val="4"/>
        </w:numPr>
        <w:snapToGrid w:val="false"/>
        <w:spacing w:lineRule="exact" w:line="440"/>
        <w:ind w:left="709" w:hanging="283"/>
        <w:rPr/>
      </w:pPr>
      <w:r>
        <w:rPr>
          <w:rStyle w:val="Style13"/>
          <w:rFonts w:ascii="標楷體" w:hAnsi="標楷體" w:eastAsia="標楷體"/>
        </w:rPr>
        <w:t>課後追蹤觀察報告</w:t>
      </w:r>
      <w:r>
        <w:rPr>
          <w:rStyle w:val="Style13"/>
          <w:rFonts w:eastAsia="標楷體" w:ascii="標楷體" w:hAnsi="標楷體"/>
        </w:rPr>
        <w:t>(</w:t>
      </w:r>
      <w:r>
        <w:rPr>
          <w:rStyle w:val="Style13"/>
          <w:rFonts w:ascii="標楷體" w:hAnsi="標楷體" w:eastAsia="標楷體"/>
        </w:rPr>
        <w:t>僅平日週末班編列</w:t>
      </w:r>
      <w:r>
        <w:rPr>
          <w:rStyle w:val="Style13"/>
          <w:rFonts w:eastAsia="標楷體" w:ascii="標楷體" w:hAnsi="標楷體"/>
        </w:rPr>
        <w:t>)</w:t>
      </w:r>
      <w:r>
        <w:rPr>
          <w:rStyle w:val="Style13"/>
          <w:rFonts w:ascii="標楷體" w:hAnsi="標楷體" w:eastAsia="標楷體"/>
        </w:rPr>
        <w:t>：限同批學生上課三班次以上，且每班次</w:t>
      </w:r>
      <w:r>
        <w:rPr>
          <w:rStyle w:val="Style13"/>
          <w:rFonts w:eastAsia="標楷體"/>
        </w:rPr>
        <w:t>需間隔至少一週</w:t>
      </w:r>
      <w:r>
        <w:rPr>
          <w:rStyle w:val="Style13"/>
          <w:rFonts w:ascii="標楷體" w:hAnsi="標楷體" w:eastAsia="標楷體"/>
        </w:rPr>
        <w:t>，</w:t>
      </w:r>
      <w:r>
        <w:rPr>
          <w:rStyle w:val="Style13"/>
          <w:rFonts w:eastAsia="標楷體" w:ascii="標楷體" w:hAnsi="標楷體"/>
        </w:rPr>
        <w:t>800</w:t>
      </w:r>
      <w:r>
        <w:rPr>
          <w:rStyle w:val="Style13"/>
          <w:rFonts w:ascii="標楷體" w:hAnsi="標楷體" w:eastAsia="標楷體"/>
        </w:rPr>
        <w:t>元</w:t>
      </w:r>
      <w:r>
        <w:rPr>
          <w:rStyle w:val="Style13"/>
          <w:rFonts w:eastAsia="標楷體" w:ascii="標楷體" w:hAnsi="標楷體"/>
        </w:rPr>
        <w:t>/</w:t>
      </w:r>
      <w:r>
        <w:rPr>
          <w:rStyle w:val="Style13"/>
          <w:rFonts w:ascii="標楷體" w:hAnsi="標楷體" w:eastAsia="標楷體"/>
        </w:rPr>
        <w:t>同一批班級學生。</w:t>
      </w:r>
    </w:p>
    <w:p>
      <w:pPr>
        <w:pStyle w:val="Style21"/>
        <w:tabs>
          <w:tab w:val="clear" w:pos="480"/>
        </w:tabs>
        <w:snapToGrid w:val="false"/>
        <w:spacing w:lineRule="exact" w:line="440"/>
        <w:ind w:left="561" w:hanging="561"/>
        <w:rPr/>
      </w:pPr>
      <w:r>
        <w:rPr>
          <w:rStyle w:val="Style13"/>
          <w:rFonts w:eastAsia="標楷體" w:ascii="標楷體" w:hAnsi="標楷體"/>
          <w:b/>
          <w:sz w:val="28"/>
          <w:szCs w:val="28"/>
        </w:rPr>
        <w:t>(</w:t>
      </w:r>
      <w:r>
        <w:rPr>
          <w:rStyle w:val="Style13"/>
          <w:rFonts w:ascii="標楷體" w:hAnsi="標楷體" w:eastAsia="標楷體"/>
          <w:b/>
          <w:sz w:val="28"/>
          <w:szCs w:val="28"/>
        </w:rPr>
        <w:t>三</w:t>
      </w:r>
      <w:r>
        <w:rPr>
          <w:rStyle w:val="Style13"/>
          <w:rFonts w:eastAsia="標楷體" w:ascii="標楷體" w:hAnsi="標楷體"/>
          <w:b/>
          <w:sz w:val="28"/>
          <w:szCs w:val="28"/>
        </w:rPr>
        <w:t>)</w:t>
      </w:r>
      <w:r>
        <w:rPr>
          <w:rStyle w:val="Style13"/>
          <w:rFonts w:ascii="標楷體" w:hAnsi="標楷體" w:eastAsia="標楷體"/>
          <w:b/>
          <w:sz w:val="28"/>
          <w:szCs w:val="28"/>
        </w:rPr>
        <w:t>教學材料費：</w:t>
      </w:r>
      <w:r>
        <w:rPr>
          <w:rStyle w:val="Style13"/>
          <w:rFonts w:ascii="標楷體" w:hAnsi="標楷體" w:eastAsia="標楷體"/>
        </w:rPr>
        <w:t>依參與學生人數補助，補助上限為學生數乘以</w:t>
      </w:r>
      <w:r>
        <w:rPr>
          <w:rStyle w:val="Style13"/>
          <w:rFonts w:eastAsia="標楷體" w:ascii="標楷體" w:hAnsi="標楷體"/>
        </w:rPr>
        <w:t>100</w:t>
      </w:r>
      <w:r>
        <w:rPr>
          <w:rStyle w:val="Style13"/>
          <w:rFonts w:ascii="標楷體" w:hAnsi="標楷體" w:eastAsia="標楷體"/>
        </w:rPr>
        <w:t>元。</w:t>
      </w:r>
    </w:p>
    <w:p>
      <w:pPr>
        <w:pStyle w:val="Style21"/>
        <w:tabs>
          <w:tab w:val="clear" w:pos="480"/>
        </w:tabs>
        <w:snapToGrid w:val="false"/>
        <w:spacing w:lineRule="exact" w:line="440"/>
        <w:ind w:left="561" w:hanging="561"/>
        <w:rPr/>
      </w:pPr>
      <w:r>
        <w:rPr>
          <w:rStyle w:val="Style13"/>
          <w:rFonts w:eastAsia="標楷體" w:ascii="標楷體" w:hAnsi="標楷體"/>
          <w:b/>
          <w:sz w:val="28"/>
          <w:szCs w:val="28"/>
        </w:rPr>
        <w:t>(</w:t>
      </w:r>
      <w:r>
        <w:rPr>
          <w:rStyle w:val="Style13"/>
          <w:rFonts w:ascii="標楷體" w:hAnsi="標楷體" w:eastAsia="標楷體"/>
          <w:b/>
          <w:sz w:val="28"/>
          <w:szCs w:val="28"/>
        </w:rPr>
        <w:t>四</w:t>
      </w:r>
      <w:r>
        <w:rPr>
          <w:rStyle w:val="Style13"/>
          <w:rFonts w:eastAsia="標楷體" w:ascii="標楷體" w:hAnsi="標楷體"/>
          <w:b/>
          <w:sz w:val="28"/>
          <w:szCs w:val="28"/>
        </w:rPr>
        <w:t>)</w:t>
      </w:r>
      <w:r>
        <w:rPr>
          <w:rStyle w:val="Style13"/>
          <w:rFonts w:ascii="標楷體" w:hAnsi="標楷體" w:eastAsia="標楷體"/>
          <w:b/>
          <w:sz w:val="28"/>
          <w:szCs w:val="28"/>
        </w:rPr>
        <w:t>印刷費：</w:t>
      </w:r>
      <w:r>
        <w:rPr>
          <w:rStyle w:val="Style13"/>
          <w:rFonts w:ascii="標楷體" w:hAnsi="標楷體" w:eastAsia="標楷體"/>
        </w:rPr>
        <w:t>依整體課程及計畫需求核實支用，補助上限為學生數乘以</w:t>
      </w:r>
      <w:r>
        <w:rPr>
          <w:rStyle w:val="Style13"/>
          <w:rFonts w:eastAsia="標楷體" w:ascii="標楷體" w:hAnsi="標楷體"/>
        </w:rPr>
        <w:t>10</w:t>
      </w:r>
      <w:r>
        <w:rPr>
          <w:rStyle w:val="Style13"/>
          <w:rFonts w:ascii="標楷體" w:hAnsi="標楷體" w:eastAsia="標楷體"/>
        </w:rPr>
        <w:t>元。</w:t>
      </w:r>
    </w:p>
    <w:p>
      <w:pPr>
        <w:pStyle w:val="Style21"/>
        <w:tabs>
          <w:tab w:val="clear" w:pos="480"/>
        </w:tabs>
        <w:snapToGrid w:val="false"/>
        <w:spacing w:lineRule="exact" w:line="440"/>
        <w:ind w:left="561" w:hanging="561"/>
        <w:rPr/>
      </w:pPr>
      <w:r>
        <w:rPr>
          <w:rStyle w:val="Style13"/>
          <w:rFonts w:eastAsia="標楷體" w:ascii="標楷體" w:hAnsi="標楷體"/>
          <w:b/>
          <w:sz w:val="28"/>
          <w:szCs w:val="28"/>
        </w:rPr>
        <w:t>(</w:t>
      </w:r>
      <w:r>
        <w:rPr>
          <w:rStyle w:val="Style13"/>
          <w:rFonts w:ascii="標楷體" w:hAnsi="標楷體" w:eastAsia="標楷體"/>
          <w:b/>
          <w:sz w:val="28"/>
          <w:szCs w:val="28"/>
        </w:rPr>
        <w:t>五</w:t>
      </w:r>
      <w:r>
        <w:rPr>
          <w:rStyle w:val="Style13"/>
          <w:rFonts w:eastAsia="標楷體" w:ascii="標楷體" w:hAnsi="標楷體"/>
          <w:b/>
          <w:sz w:val="28"/>
          <w:szCs w:val="28"/>
        </w:rPr>
        <w:t>)</w:t>
      </w:r>
      <w:r>
        <w:rPr>
          <w:rStyle w:val="Style13"/>
          <w:rFonts w:ascii="標楷體" w:hAnsi="標楷體" w:eastAsia="標楷體"/>
          <w:b/>
          <w:sz w:val="28"/>
          <w:szCs w:val="28"/>
        </w:rPr>
        <w:t>偏遠地區膳費：</w:t>
      </w:r>
      <w:r>
        <w:rPr>
          <w:rStyle w:val="Style13"/>
          <w:rFonts w:ascii="標楷體" w:hAnsi="標楷體" w:eastAsia="標楷體"/>
        </w:rPr>
        <w:t>學生以</w:t>
      </w:r>
      <w:r>
        <w:rPr>
          <w:rStyle w:val="Style13"/>
          <w:rFonts w:eastAsia="標楷體" w:ascii="標楷體" w:hAnsi="標楷體"/>
        </w:rPr>
        <w:t>15</w:t>
      </w:r>
      <w:r>
        <w:rPr>
          <w:rStyle w:val="Style13"/>
          <w:rFonts w:ascii="標楷體" w:hAnsi="標楷體" w:eastAsia="標楷體"/>
        </w:rPr>
        <w:t>人為原則</w:t>
      </w:r>
      <w:r>
        <w:rPr>
          <w:rStyle w:val="Style13"/>
          <w:rFonts w:eastAsia="標楷體" w:ascii="標楷體" w:hAnsi="標楷體"/>
        </w:rPr>
        <w:t>(</w:t>
      </w:r>
      <w:r>
        <w:rPr>
          <w:rStyle w:val="Style13"/>
          <w:rFonts w:ascii="標楷體" w:hAnsi="標楷體" w:eastAsia="標楷體"/>
        </w:rPr>
        <w:t>補助上限為</w:t>
      </w:r>
      <w:r>
        <w:rPr>
          <w:rStyle w:val="Style13"/>
          <w:rFonts w:eastAsia="標楷體" w:ascii="標楷體" w:hAnsi="標楷體"/>
        </w:rPr>
        <w:t>35</w:t>
      </w:r>
      <w:r>
        <w:rPr>
          <w:rStyle w:val="Style13"/>
          <w:rFonts w:ascii="標楷體" w:hAnsi="標楷體" w:eastAsia="標楷體"/>
        </w:rPr>
        <w:t>位學生</w:t>
      </w:r>
      <w:r>
        <w:rPr>
          <w:rStyle w:val="Style13"/>
          <w:rFonts w:eastAsia="標楷體" w:ascii="標楷體" w:hAnsi="標楷體"/>
        </w:rPr>
        <w:t>)</w:t>
      </w:r>
      <w:r>
        <w:rPr>
          <w:rStyle w:val="Style13"/>
          <w:rFonts w:ascii="標楷體" w:hAnsi="標楷體" w:eastAsia="標楷體"/>
        </w:rPr>
        <w:t>，另教師及工作人員至多補助</w:t>
      </w:r>
      <w:r>
        <w:rPr>
          <w:rStyle w:val="Style13"/>
          <w:rFonts w:eastAsia="標楷體" w:ascii="標楷體" w:hAnsi="標楷體"/>
        </w:rPr>
        <w:t>10</w:t>
      </w:r>
      <w:r>
        <w:rPr>
          <w:rStyle w:val="Style13"/>
          <w:rFonts w:ascii="標楷體" w:hAnsi="標楷體" w:eastAsia="標楷體"/>
        </w:rPr>
        <w:t>人，最高補助人數合計</w:t>
      </w:r>
      <w:r>
        <w:rPr>
          <w:rStyle w:val="Style13"/>
          <w:rFonts w:eastAsia="標楷體" w:ascii="標楷體" w:hAnsi="標楷體"/>
        </w:rPr>
        <w:t>45</w:t>
      </w:r>
      <w:r>
        <w:rPr>
          <w:rStyle w:val="Style13"/>
          <w:rFonts w:ascii="標楷體" w:hAnsi="標楷體" w:eastAsia="標楷體"/>
        </w:rPr>
        <w:t>人，</w:t>
      </w:r>
      <w:r>
        <w:rPr>
          <w:rStyle w:val="Style13"/>
          <w:rFonts w:eastAsia="標楷體" w:ascii="標楷體" w:hAnsi="標楷體"/>
        </w:rPr>
        <w:t>80</w:t>
      </w:r>
      <w:r>
        <w:rPr>
          <w:rStyle w:val="Style13"/>
          <w:rFonts w:ascii="標楷體" w:hAnsi="標楷體" w:eastAsia="標楷體"/>
        </w:rPr>
        <w:t>元</w:t>
      </w:r>
      <w:r>
        <w:rPr>
          <w:rStyle w:val="Style13"/>
          <w:rFonts w:eastAsia="標楷體" w:ascii="標楷體" w:hAnsi="標楷體"/>
        </w:rPr>
        <w:t>/</w:t>
      </w:r>
      <w:r>
        <w:rPr>
          <w:rStyle w:val="Style13"/>
          <w:rFonts w:ascii="標楷體" w:hAnsi="標楷體" w:eastAsia="標楷體"/>
        </w:rPr>
        <w:t>人。</w:t>
      </w:r>
    </w:p>
    <w:p>
      <w:pPr>
        <w:pStyle w:val="Style21"/>
        <w:tabs>
          <w:tab w:val="clear" w:pos="480"/>
        </w:tabs>
        <w:snapToGrid w:val="false"/>
        <w:spacing w:lineRule="exact" w:line="440"/>
        <w:ind w:left="561" w:hanging="561"/>
        <w:rPr/>
      </w:pPr>
      <w:r>
        <w:rPr>
          <w:rStyle w:val="Style13"/>
          <w:rFonts w:eastAsia="標楷體" w:ascii="標楷體" w:hAnsi="標楷體"/>
          <w:b/>
          <w:sz w:val="28"/>
          <w:szCs w:val="28"/>
        </w:rPr>
        <w:t>(</w:t>
      </w:r>
      <w:r>
        <w:rPr>
          <w:rStyle w:val="Style13"/>
          <w:rFonts w:ascii="標楷體" w:hAnsi="標楷體" w:eastAsia="標楷體"/>
          <w:b/>
          <w:sz w:val="28"/>
          <w:szCs w:val="28"/>
        </w:rPr>
        <w:t>六</w:t>
      </w:r>
      <w:r>
        <w:rPr>
          <w:rStyle w:val="Style13"/>
          <w:rFonts w:eastAsia="標楷體" w:ascii="標楷體" w:hAnsi="標楷體"/>
          <w:b/>
          <w:sz w:val="28"/>
          <w:szCs w:val="28"/>
        </w:rPr>
        <w:t>)</w:t>
      </w:r>
      <w:r>
        <w:rPr>
          <w:rStyle w:val="Style13"/>
          <w:rFonts w:ascii="標楷體" w:hAnsi="標楷體" w:eastAsia="標楷體"/>
          <w:b/>
          <w:sz w:val="28"/>
          <w:szCs w:val="28"/>
        </w:rPr>
        <w:t>雜支：</w:t>
      </w:r>
      <w:r>
        <w:rPr>
          <w:rStyle w:val="Style13"/>
          <w:rFonts w:ascii="標楷體" w:hAnsi="標楷體" w:cs="新細明體" w:eastAsia="標楷體"/>
          <w:kern w:val="0"/>
          <w:sz w:val="22"/>
        </w:rPr>
        <w:t>雜支不得超過總經費</w:t>
      </w:r>
      <w:r>
        <w:rPr>
          <w:rStyle w:val="Style13"/>
          <w:rFonts w:eastAsia="標楷體" w:cs="新細明體" w:ascii="標楷體" w:hAnsi="標楷體"/>
          <w:kern w:val="0"/>
          <w:sz w:val="22"/>
        </w:rPr>
        <w:t>10%</w:t>
      </w:r>
      <w:r>
        <w:rPr>
          <w:rStyle w:val="Style13"/>
          <w:rFonts w:ascii="標楷體" w:hAnsi="標楷體" w:cs="新細明體" w:eastAsia="標楷體"/>
          <w:kern w:val="0"/>
          <w:sz w:val="22"/>
        </w:rPr>
        <w:t>，詳情請依各縣市規定編列。</w:t>
      </w:r>
      <w:r>
        <w:rPr>
          <w:rStyle w:val="Style13"/>
          <w:rFonts w:ascii="標楷體" w:hAnsi="標楷體" w:eastAsia="標楷體"/>
        </w:rPr>
        <w:t>凡前項費用未列之辦公事務費用屬之，如文具用品、紙張、資訊耗材、資料夾、郵資等。</w:t>
      </w:r>
    </w:p>
    <w:p>
      <w:pPr>
        <w:pStyle w:val="Style21"/>
        <w:tabs>
          <w:tab w:val="clear" w:pos="480"/>
        </w:tabs>
        <w:snapToGrid w:val="false"/>
        <w:spacing w:lineRule="exact" w:line="440"/>
        <w:ind w:left="480" w:hanging="48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21"/>
        <w:snapToGrid w:val="false"/>
        <w:spacing w:lineRule="exact" w:line="440" w:before="180" w:after="0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ascii="標楷體" w:hAnsi="標楷體" w:eastAsia="標楷體"/>
          <w:b/>
          <w:sz w:val="28"/>
          <w:szCs w:val="28"/>
        </w:rPr>
        <w:t>二、本計畫不補助資本門、工讀費、資料蒐集費等費用。</w:t>
      </w:r>
    </w:p>
    <w:p>
      <w:pPr>
        <w:pStyle w:val="Style21"/>
        <w:snapToGrid w:val="false"/>
        <w:spacing w:lineRule="exact" w:line="440" w:before="180" w:after="0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eastAsia="標楷體" w:ascii="標楷體" w:hAnsi="標楷體"/>
          <w:b/>
          <w:sz w:val="28"/>
          <w:szCs w:val="28"/>
        </w:rPr>
      </w:r>
    </w:p>
    <w:p>
      <w:pPr>
        <w:pStyle w:val="Style21"/>
        <w:snapToGrid w:val="false"/>
        <w:spacing w:lineRule="exact" w:line="440" w:before="180" w:after="0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eastAsia="標楷體" w:ascii="標楷體" w:hAnsi="標楷體"/>
          <w:b/>
          <w:sz w:val="28"/>
          <w:szCs w:val="28"/>
        </w:rPr>
      </w:r>
    </w:p>
    <w:p>
      <w:pPr>
        <w:pStyle w:val="Style21"/>
        <w:snapToGrid w:val="false"/>
        <w:spacing w:lineRule="exact" w:line="440" w:before="180" w:after="0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eastAsia="標楷體" w:ascii="標楷體" w:hAnsi="標楷體"/>
          <w:b/>
          <w:sz w:val="28"/>
          <w:szCs w:val="28"/>
        </w:rPr>
      </w:r>
    </w:p>
    <w:p>
      <w:pPr>
        <w:pStyle w:val="Style21"/>
        <w:snapToGrid w:val="false"/>
        <w:spacing w:lineRule="exact" w:line="440" w:before="180" w:after="0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ascii="標楷體" w:hAnsi="標楷體" w:eastAsia="標楷體"/>
          <w:b/>
          <w:sz w:val="28"/>
          <w:szCs w:val="28"/>
        </w:rPr>
        <w:t>三、本計畫總經費上限如下：</w:t>
      </w:r>
    </w:p>
    <w:p>
      <w:pPr>
        <w:pStyle w:val="Style21"/>
        <w:snapToGrid w:val="false"/>
        <w:spacing w:lineRule="exact" w:line="44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　　 每班補助經費</w:t>
      </w:r>
    </w:p>
    <w:tbl>
      <w:tblPr>
        <w:tblW w:w="6521" w:type="dxa"/>
        <w:jc w:val="left"/>
        <w:tblInd w:w="5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544"/>
      </w:tblGrid>
      <w:tr>
        <w:trPr>
          <w:trHeight w:val="567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Style21"/>
              <w:tabs>
                <w:tab w:val="clear" w:pos="480"/>
                <w:tab w:val="left" w:pos="1620" w:leader="none"/>
              </w:tabs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地區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Style21"/>
              <w:tabs>
                <w:tab w:val="clear" w:pos="480"/>
                <w:tab w:val="left" w:pos="1620" w:leader="none"/>
              </w:tabs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補助金額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480"/>
                <w:tab w:val="left" w:pos="1620" w:leader="none"/>
              </w:tabs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一般地區：</w:t>
            </w:r>
            <w:r>
              <w:rPr>
                <w:rFonts w:eastAsia="標楷體" w:ascii="標楷體" w:hAnsi="標楷體"/>
              </w:rPr>
              <w:t>2</w:t>
            </w:r>
            <w:r>
              <w:rPr>
                <w:rFonts w:ascii="標楷體" w:hAnsi="標楷體" w:eastAsia="標楷體"/>
              </w:rPr>
              <w:t>單元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480"/>
                <w:tab w:val="left" w:pos="1620" w:leader="none"/>
              </w:tabs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8,150</w:t>
            </w:r>
            <w:r>
              <w:rPr>
                <w:rFonts w:ascii="標楷體" w:hAnsi="標楷體" w:eastAsia="標楷體"/>
              </w:rPr>
              <w:t>元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不含雜支</w:t>
            </w:r>
            <w:r>
              <w:rPr>
                <w:rFonts w:eastAsia="標楷體" w:ascii="標楷體" w:hAnsi="標楷體"/>
              </w:rPr>
              <w:t>)</w:t>
            </w:r>
          </w:p>
          <w:p>
            <w:pPr>
              <w:pStyle w:val="Style22"/>
              <w:numPr>
                <w:ilvl w:val="0"/>
                <w:numId w:val="5"/>
              </w:numPr>
              <w:tabs>
                <w:tab w:val="left" w:pos="1620" w:leader="none"/>
              </w:tabs>
              <w:ind w:left="284" w:hanging="284"/>
              <w:rPr>
                <w:rFonts w:ascii="標楷體" w:hAnsi="標楷體" w:eastAsia="標楷體"/>
                <w:sz w:val="21"/>
                <w:szCs w:val="21"/>
              </w:rPr>
            </w:pPr>
            <w:r>
              <w:rPr>
                <w:rFonts w:ascii="標楷體" w:hAnsi="標楷體" w:eastAsia="標楷體"/>
                <w:sz w:val="21"/>
                <w:szCs w:val="21"/>
              </w:rPr>
              <w:t>鐘點費</w:t>
            </w:r>
            <w:r>
              <w:rPr>
                <w:rFonts w:eastAsia="標楷體" w:ascii="標楷體" w:hAnsi="標楷體"/>
                <w:sz w:val="21"/>
                <w:szCs w:val="21"/>
              </w:rPr>
              <w:t>(900+450)*2=2,700</w:t>
            </w:r>
          </w:p>
          <w:p>
            <w:pPr>
              <w:pStyle w:val="Style22"/>
              <w:numPr>
                <w:ilvl w:val="0"/>
                <w:numId w:val="5"/>
              </w:numPr>
              <w:tabs>
                <w:tab w:val="left" w:pos="1620" w:leader="none"/>
              </w:tabs>
              <w:ind w:left="284" w:hanging="284"/>
              <w:rPr>
                <w:rFonts w:ascii="標楷體" w:hAnsi="標楷體" w:eastAsia="標楷體"/>
                <w:sz w:val="21"/>
                <w:szCs w:val="21"/>
              </w:rPr>
            </w:pPr>
            <w:r>
              <w:rPr>
                <w:rFonts w:ascii="標楷體" w:hAnsi="標楷體" w:eastAsia="標楷體"/>
                <w:sz w:val="21"/>
                <w:szCs w:val="21"/>
              </w:rPr>
              <w:t>諮詢費</w:t>
            </w:r>
            <w:r>
              <w:rPr>
                <w:rFonts w:eastAsia="標楷體" w:ascii="標楷體" w:hAnsi="標楷體"/>
                <w:sz w:val="21"/>
                <w:szCs w:val="21"/>
              </w:rPr>
              <w:t>(</w:t>
            </w:r>
            <w:r>
              <w:rPr>
                <w:rFonts w:ascii="標楷體" w:hAnsi="標楷體" w:eastAsia="標楷體"/>
                <w:sz w:val="21"/>
                <w:szCs w:val="21"/>
              </w:rPr>
              <w:t>一</w:t>
            </w:r>
            <w:r>
              <w:rPr>
                <w:rFonts w:eastAsia="標楷體" w:ascii="標楷體" w:hAnsi="標楷體"/>
                <w:sz w:val="21"/>
                <w:szCs w:val="21"/>
              </w:rPr>
              <w:t>)</w:t>
            </w:r>
            <w:r>
              <w:rPr>
                <w:rFonts w:ascii="標楷體" w:hAnsi="標楷體" w:eastAsia="標楷體"/>
                <w:sz w:val="21"/>
                <w:szCs w:val="21"/>
              </w:rPr>
              <w:t>、</w:t>
            </w:r>
            <w:r>
              <w:rPr>
                <w:rFonts w:eastAsia="標楷體" w:ascii="標楷體" w:hAnsi="標楷體"/>
                <w:sz w:val="21"/>
                <w:szCs w:val="21"/>
              </w:rPr>
              <w:t>(</w:t>
            </w:r>
            <w:r>
              <w:rPr>
                <w:rFonts w:ascii="標楷體" w:hAnsi="標楷體" w:eastAsia="標楷體"/>
                <w:sz w:val="21"/>
                <w:szCs w:val="21"/>
              </w:rPr>
              <w:t>二</w:t>
            </w:r>
            <w:r>
              <w:rPr>
                <w:rFonts w:eastAsia="標楷體" w:ascii="標楷體" w:hAnsi="標楷體"/>
                <w:sz w:val="21"/>
                <w:szCs w:val="21"/>
              </w:rPr>
              <w:t>)800*2=1,600</w:t>
            </w:r>
          </w:p>
          <w:p>
            <w:pPr>
              <w:pStyle w:val="Style22"/>
              <w:numPr>
                <w:ilvl w:val="0"/>
                <w:numId w:val="5"/>
              </w:numPr>
              <w:tabs>
                <w:tab w:val="left" w:pos="1620" w:leader="none"/>
              </w:tabs>
              <w:ind w:left="284" w:hanging="284"/>
              <w:rPr>
                <w:rFonts w:ascii="標楷體" w:hAnsi="標楷體" w:eastAsia="標楷體"/>
                <w:sz w:val="21"/>
                <w:szCs w:val="21"/>
              </w:rPr>
            </w:pPr>
            <w:r>
              <w:rPr>
                <w:rFonts w:ascii="標楷體" w:hAnsi="標楷體" w:eastAsia="標楷體"/>
                <w:sz w:val="21"/>
                <w:szCs w:val="21"/>
              </w:rPr>
              <w:t>材料費</w:t>
            </w:r>
            <w:r>
              <w:rPr>
                <w:rFonts w:eastAsia="標楷體" w:ascii="標楷體" w:hAnsi="標楷體"/>
                <w:sz w:val="21"/>
                <w:szCs w:val="21"/>
              </w:rPr>
              <w:t>100*35</w:t>
            </w:r>
            <w:r>
              <w:rPr>
                <w:rFonts w:ascii="標楷體" w:hAnsi="標楷體" w:eastAsia="標楷體"/>
                <w:sz w:val="21"/>
                <w:szCs w:val="21"/>
              </w:rPr>
              <w:t>人</w:t>
            </w:r>
            <w:r>
              <w:rPr>
                <w:rFonts w:eastAsia="標楷體" w:ascii="標楷體" w:hAnsi="標楷體"/>
                <w:sz w:val="21"/>
                <w:szCs w:val="21"/>
              </w:rPr>
              <w:t>=3,500</w:t>
            </w:r>
          </w:p>
          <w:p>
            <w:pPr>
              <w:pStyle w:val="Style22"/>
              <w:numPr>
                <w:ilvl w:val="0"/>
                <w:numId w:val="5"/>
              </w:numPr>
              <w:tabs>
                <w:tab w:val="left" w:pos="1620" w:leader="none"/>
              </w:tabs>
              <w:ind w:left="284" w:hanging="284"/>
              <w:rPr>
                <w:rFonts w:ascii="標楷體" w:hAnsi="標楷體" w:eastAsia="標楷體"/>
                <w:sz w:val="21"/>
                <w:szCs w:val="21"/>
              </w:rPr>
            </w:pPr>
            <w:r>
              <w:rPr>
                <w:rFonts w:ascii="標楷體" w:hAnsi="標楷體" w:eastAsia="標楷體"/>
                <w:sz w:val="21"/>
                <w:szCs w:val="21"/>
              </w:rPr>
              <w:t>印刷費</w:t>
            </w:r>
            <w:r>
              <w:rPr>
                <w:rFonts w:eastAsia="標楷體" w:ascii="標楷體" w:hAnsi="標楷體"/>
                <w:sz w:val="21"/>
                <w:szCs w:val="21"/>
              </w:rPr>
              <w:t>10*35</w:t>
            </w:r>
            <w:r>
              <w:rPr>
                <w:rFonts w:ascii="標楷體" w:hAnsi="標楷體" w:eastAsia="標楷體"/>
                <w:sz w:val="21"/>
                <w:szCs w:val="21"/>
              </w:rPr>
              <w:t>人</w:t>
            </w:r>
            <w:r>
              <w:rPr>
                <w:rFonts w:eastAsia="標楷體" w:ascii="標楷體" w:hAnsi="標楷體"/>
                <w:sz w:val="21"/>
                <w:szCs w:val="21"/>
              </w:rPr>
              <w:t>=350</w:t>
            </w:r>
          </w:p>
          <w:p>
            <w:pPr>
              <w:pStyle w:val="Style22"/>
              <w:numPr>
                <w:ilvl w:val="0"/>
                <w:numId w:val="5"/>
              </w:numPr>
              <w:tabs>
                <w:tab w:val="left" w:pos="1620" w:leader="none"/>
              </w:tabs>
              <w:ind w:left="284" w:hanging="284"/>
              <w:rPr>
                <w:rFonts w:ascii="標楷體" w:hAnsi="標楷體" w:eastAsia="標楷體"/>
                <w:sz w:val="21"/>
                <w:szCs w:val="21"/>
              </w:rPr>
            </w:pPr>
            <w:r>
              <w:rPr>
                <w:rFonts w:ascii="標楷體" w:hAnsi="標楷體" w:eastAsia="標楷體"/>
                <w:sz w:val="21"/>
                <w:szCs w:val="21"/>
              </w:rPr>
              <w:t>雜支</w:t>
            </w:r>
            <w:r>
              <w:rPr>
                <w:rFonts w:eastAsia="標楷體" w:ascii="標楷體" w:hAnsi="標楷體"/>
                <w:sz w:val="21"/>
                <w:szCs w:val="21"/>
              </w:rPr>
              <w:t>(</w:t>
            </w:r>
            <w:r>
              <w:rPr>
                <w:rFonts w:ascii="標楷體" w:hAnsi="標楷體" w:eastAsia="標楷體"/>
                <w:sz w:val="21"/>
                <w:szCs w:val="21"/>
              </w:rPr>
              <w:t>不得超過總經費</w:t>
            </w:r>
            <w:r>
              <w:rPr>
                <w:rFonts w:eastAsia="標楷體" w:ascii="標楷體" w:hAnsi="標楷體"/>
                <w:sz w:val="21"/>
                <w:szCs w:val="21"/>
              </w:rPr>
              <w:t>10%)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480"/>
                <w:tab w:val="left" w:pos="1620" w:leader="none"/>
              </w:tabs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偏遠地區：</w:t>
            </w:r>
            <w:r>
              <w:rPr>
                <w:rFonts w:eastAsia="標楷體" w:ascii="標楷體" w:hAnsi="標楷體"/>
              </w:rPr>
              <w:t>3</w:t>
            </w:r>
            <w:r>
              <w:rPr>
                <w:rFonts w:ascii="標楷體" w:hAnsi="標楷體" w:eastAsia="標楷體"/>
              </w:rPr>
              <w:t>單元</w:t>
            </w:r>
          </w:p>
          <w:p>
            <w:pPr>
              <w:pStyle w:val="Style21"/>
              <w:tabs>
                <w:tab w:val="clear" w:pos="480"/>
                <w:tab w:val="left" w:pos="1620" w:leader="none"/>
              </w:tabs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含膳費</w:t>
            </w:r>
            <w:r>
              <w:rPr>
                <w:rFonts w:eastAsia="標楷體" w:ascii="標楷體" w:hAnsi="標楷體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480"/>
                <w:tab w:val="left" w:pos="1620" w:leader="none"/>
              </w:tabs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  <w:r>
              <w:rPr>
                <w:rFonts w:ascii="標楷體" w:hAnsi="標楷體" w:eastAsia="標楷體"/>
              </w:rPr>
              <w:t>萬</w:t>
            </w:r>
            <w:r>
              <w:rPr>
                <w:rFonts w:eastAsia="標楷體" w:ascii="標楷體" w:hAnsi="標楷體"/>
              </w:rPr>
              <w:t>3,100</w:t>
            </w:r>
            <w:r>
              <w:rPr>
                <w:rFonts w:ascii="標楷體" w:hAnsi="標楷體" w:eastAsia="標楷體"/>
              </w:rPr>
              <w:t>元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不含雜支</w:t>
            </w:r>
            <w:r>
              <w:rPr>
                <w:rFonts w:eastAsia="標楷體" w:ascii="標楷體" w:hAnsi="標楷體"/>
              </w:rPr>
              <w:t>)</w:t>
            </w:r>
          </w:p>
          <w:p>
            <w:pPr>
              <w:pStyle w:val="Style22"/>
              <w:numPr>
                <w:ilvl w:val="0"/>
                <w:numId w:val="6"/>
              </w:numPr>
              <w:tabs>
                <w:tab w:val="left" w:pos="1620" w:leader="none"/>
              </w:tabs>
              <w:ind w:left="284" w:hanging="284"/>
              <w:rPr>
                <w:rFonts w:ascii="標楷體" w:hAnsi="標楷體" w:eastAsia="標楷體"/>
                <w:sz w:val="21"/>
                <w:szCs w:val="21"/>
              </w:rPr>
            </w:pPr>
            <w:r>
              <w:rPr>
                <w:rFonts w:ascii="標楷體" w:hAnsi="標楷體" w:eastAsia="標楷體"/>
                <w:sz w:val="21"/>
                <w:szCs w:val="21"/>
              </w:rPr>
              <w:t>鐘點費</w:t>
            </w:r>
            <w:r>
              <w:rPr>
                <w:rFonts w:eastAsia="標楷體" w:ascii="標楷體" w:hAnsi="標楷體"/>
                <w:sz w:val="21"/>
                <w:szCs w:val="21"/>
              </w:rPr>
              <w:t>(900+450)*3=4,050</w:t>
            </w:r>
          </w:p>
          <w:p>
            <w:pPr>
              <w:pStyle w:val="Style22"/>
              <w:numPr>
                <w:ilvl w:val="0"/>
                <w:numId w:val="6"/>
              </w:numPr>
              <w:tabs>
                <w:tab w:val="left" w:pos="1620" w:leader="none"/>
              </w:tabs>
              <w:ind w:left="284" w:hanging="284"/>
              <w:rPr>
                <w:rFonts w:ascii="標楷體" w:hAnsi="標楷體" w:eastAsia="標楷體"/>
                <w:sz w:val="21"/>
                <w:szCs w:val="21"/>
              </w:rPr>
            </w:pPr>
            <w:r>
              <w:rPr>
                <w:rFonts w:ascii="標楷體" w:hAnsi="標楷體" w:eastAsia="標楷體"/>
                <w:sz w:val="21"/>
                <w:szCs w:val="21"/>
              </w:rPr>
              <w:t>諮詢費</w:t>
            </w:r>
            <w:r>
              <w:rPr>
                <w:rFonts w:eastAsia="標楷體" w:ascii="標楷體" w:hAnsi="標楷體"/>
                <w:sz w:val="21"/>
                <w:szCs w:val="21"/>
              </w:rPr>
              <w:t>(</w:t>
            </w:r>
            <w:r>
              <w:rPr>
                <w:rFonts w:ascii="標楷體" w:hAnsi="標楷體" w:eastAsia="標楷體"/>
                <w:sz w:val="21"/>
                <w:szCs w:val="21"/>
              </w:rPr>
              <w:t>一</w:t>
            </w:r>
            <w:r>
              <w:rPr>
                <w:rFonts w:eastAsia="標楷體" w:ascii="標楷體" w:hAnsi="標楷體"/>
                <w:sz w:val="21"/>
                <w:szCs w:val="21"/>
              </w:rPr>
              <w:t>)</w:t>
            </w:r>
            <w:r>
              <w:rPr>
                <w:rFonts w:ascii="標楷體" w:hAnsi="標楷體" w:eastAsia="標楷體"/>
                <w:sz w:val="21"/>
                <w:szCs w:val="21"/>
              </w:rPr>
              <w:t>、</w:t>
            </w:r>
            <w:r>
              <w:rPr>
                <w:rFonts w:eastAsia="標楷體" w:ascii="標楷體" w:hAnsi="標楷體"/>
                <w:sz w:val="21"/>
                <w:szCs w:val="21"/>
              </w:rPr>
              <w:t>(</w:t>
            </w:r>
            <w:r>
              <w:rPr>
                <w:rFonts w:ascii="標楷體" w:hAnsi="標楷體" w:eastAsia="標楷體"/>
                <w:sz w:val="21"/>
                <w:szCs w:val="21"/>
              </w:rPr>
              <w:t>二</w:t>
            </w:r>
            <w:r>
              <w:rPr>
                <w:rFonts w:eastAsia="標楷體" w:ascii="標楷體" w:hAnsi="標楷體"/>
                <w:sz w:val="21"/>
                <w:szCs w:val="21"/>
              </w:rPr>
              <w:t>)800*2=1,600</w:t>
            </w:r>
          </w:p>
          <w:p>
            <w:pPr>
              <w:pStyle w:val="Style22"/>
              <w:numPr>
                <w:ilvl w:val="0"/>
                <w:numId w:val="6"/>
              </w:numPr>
              <w:tabs>
                <w:tab w:val="left" w:pos="1620" w:leader="none"/>
              </w:tabs>
              <w:ind w:left="480" w:hanging="0"/>
              <w:rPr>
                <w:rFonts w:ascii="標楷體" w:hAnsi="標楷體" w:eastAsia="標楷體"/>
                <w:sz w:val="21"/>
                <w:szCs w:val="21"/>
              </w:rPr>
            </w:pPr>
            <w:r>
              <w:rPr>
                <w:rFonts w:ascii="標楷體" w:hAnsi="標楷體" w:eastAsia="標楷體"/>
                <w:sz w:val="21"/>
                <w:szCs w:val="21"/>
              </w:rPr>
              <w:t>材料費</w:t>
            </w:r>
            <w:r>
              <w:rPr>
                <w:rFonts w:eastAsia="標楷體" w:ascii="標楷體" w:hAnsi="標楷體"/>
                <w:sz w:val="21"/>
                <w:szCs w:val="21"/>
              </w:rPr>
              <w:t>100*35</w:t>
            </w:r>
            <w:r>
              <w:rPr>
                <w:rFonts w:ascii="標楷體" w:hAnsi="標楷體" w:eastAsia="標楷體"/>
                <w:sz w:val="21"/>
                <w:szCs w:val="21"/>
              </w:rPr>
              <w:t>人</w:t>
            </w:r>
            <w:r>
              <w:rPr>
                <w:rFonts w:eastAsia="標楷體" w:ascii="標楷體" w:hAnsi="標楷體"/>
                <w:sz w:val="21"/>
                <w:szCs w:val="21"/>
              </w:rPr>
              <w:t>=3,500</w:t>
            </w:r>
          </w:p>
          <w:p>
            <w:pPr>
              <w:pStyle w:val="Style22"/>
              <w:numPr>
                <w:ilvl w:val="0"/>
                <w:numId w:val="6"/>
              </w:numPr>
              <w:tabs>
                <w:tab w:val="left" w:pos="1620" w:leader="none"/>
              </w:tabs>
              <w:ind w:left="480" w:hanging="0"/>
              <w:rPr>
                <w:rFonts w:ascii="標楷體" w:hAnsi="標楷體" w:eastAsia="標楷體"/>
                <w:sz w:val="21"/>
                <w:szCs w:val="21"/>
              </w:rPr>
            </w:pPr>
            <w:r>
              <w:rPr>
                <w:rFonts w:ascii="標楷體" w:hAnsi="標楷體" w:eastAsia="標楷體"/>
                <w:sz w:val="21"/>
                <w:szCs w:val="21"/>
              </w:rPr>
              <w:t>印刷費</w:t>
            </w:r>
            <w:r>
              <w:rPr>
                <w:rFonts w:eastAsia="標楷體" w:ascii="標楷體" w:hAnsi="標楷體"/>
                <w:sz w:val="21"/>
                <w:szCs w:val="21"/>
              </w:rPr>
              <w:t>10*35</w:t>
            </w:r>
            <w:r>
              <w:rPr>
                <w:rFonts w:ascii="標楷體" w:hAnsi="標楷體" w:eastAsia="標楷體"/>
                <w:sz w:val="21"/>
                <w:szCs w:val="21"/>
              </w:rPr>
              <w:t>人</w:t>
            </w:r>
            <w:r>
              <w:rPr>
                <w:rFonts w:eastAsia="標楷體" w:ascii="標楷體" w:hAnsi="標楷體"/>
                <w:sz w:val="21"/>
                <w:szCs w:val="21"/>
              </w:rPr>
              <w:t>=350</w:t>
            </w:r>
          </w:p>
          <w:p>
            <w:pPr>
              <w:pStyle w:val="Style22"/>
              <w:numPr>
                <w:ilvl w:val="0"/>
                <w:numId w:val="7"/>
              </w:numPr>
              <w:tabs>
                <w:tab w:val="left" w:pos="1620" w:leader="none"/>
              </w:tabs>
              <w:ind w:left="284" w:hanging="284"/>
              <w:rPr>
                <w:rFonts w:ascii="標楷體" w:hAnsi="標楷體" w:eastAsia="標楷體"/>
                <w:sz w:val="21"/>
                <w:szCs w:val="21"/>
              </w:rPr>
            </w:pPr>
            <w:r>
              <w:rPr>
                <w:rFonts w:ascii="標楷體" w:hAnsi="標楷體" w:eastAsia="標楷體"/>
                <w:sz w:val="21"/>
                <w:szCs w:val="21"/>
              </w:rPr>
              <w:t>膳費</w:t>
            </w:r>
            <w:r>
              <w:rPr>
                <w:rFonts w:eastAsia="標楷體" w:ascii="標楷體" w:hAnsi="標楷體"/>
                <w:sz w:val="21"/>
                <w:szCs w:val="21"/>
              </w:rPr>
              <w:t>80*45</w:t>
            </w:r>
            <w:r>
              <w:rPr>
                <w:rFonts w:ascii="標楷體" w:hAnsi="標楷體" w:eastAsia="標楷體"/>
                <w:sz w:val="21"/>
                <w:szCs w:val="21"/>
              </w:rPr>
              <w:t>人</w:t>
            </w:r>
            <w:r>
              <w:rPr>
                <w:rFonts w:eastAsia="標楷體" w:ascii="標楷體" w:hAnsi="標楷體"/>
                <w:sz w:val="21"/>
                <w:szCs w:val="21"/>
              </w:rPr>
              <w:t>=3,600</w:t>
            </w:r>
          </w:p>
          <w:p>
            <w:pPr>
              <w:pStyle w:val="Style22"/>
              <w:numPr>
                <w:ilvl w:val="0"/>
                <w:numId w:val="7"/>
              </w:numPr>
              <w:tabs>
                <w:tab w:val="left" w:pos="1620" w:leader="none"/>
              </w:tabs>
              <w:ind w:left="284" w:hanging="284"/>
              <w:rPr/>
            </w:pPr>
            <w:r>
              <w:rPr>
                <w:rStyle w:val="Style13"/>
                <w:rFonts w:ascii="標楷體" w:hAnsi="標楷體" w:eastAsia="標楷體"/>
                <w:sz w:val="21"/>
                <w:szCs w:val="21"/>
              </w:rPr>
              <w:t>雜支</w:t>
            </w:r>
            <w:r>
              <w:rPr>
                <w:rStyle w:val="Style13"/>
                <w:rFonts w:eastAsia="標楷體" w:ascii="標楷體" w:hAnsi="標楷體"/>
                <w:sz w:val="21"/>
                <w:szCs w:val="21"/>
              </w:rPr>
              <w:t>(</w:t>
            </w:r>
            <w:r>
              <w:rPr>
                <w:rStyle w:val="Style13"/>
                <w:rFonts w:ascii="標楷體" w:hAnsi="標楷體" w:cs="新細明體" w:eastAsia="標楷體"/>
                <w:kern w:val="0"/>
                <w:sz w:val="22"/>
              </w:rPr>
              <w:t>不得超過總經費</w:t>
            </w:r>
            <w:r>
              <w:rPr>
                <w:rStyle w:val="Style13"/>
                <w:rFonts w:eastAsia="標楷體" w:cs="新細明體" w:ascii="標楷體" w:hAnsi="標楷體"/>
                <w:kern w:val="0"/>
                <w:sz w:val="22"/>
              </w:rPr>
              <w:t>10%</w:t>
            </w:r>
            <w:r>
              <w:rPr>
                <w:rStyle w:val="Style13"/>
                <w:rFonts w:eastAsia="標楷體" w:ascii="標楷體" w:hAnsi="標楷體"/>
                <w:sz w:val="21"/>
                <w:szCs w:val="21"/>
              </w:rPr>
              <w:t>)</w:t>
            </w:r>
          </w:p>
        </w:tc>
      </w:tr>
    </w:tbl>
    <w:p>
      <w:pPr>
        <w:pStyle w:val="Style21"/>
        <w:tabs>
          <w:tab w:val="clear" w:pos="480"/>
        </w:tabs>
        <w:spacing w:lineRule="exact" w:line="440" w:before="180" w:after="0"/>
        <w:ind w:left="565" w:hanging="560"/>
        <w:jc w:val="both"/>
        <w:rPr/>
      </w:pPr>
      <w:r>
        <w:rPr>
          <w:rStyle w:val="Style13"/>
          <w:rFonts w:ascii="標楷體" w:hAnsi="標楷體" w:eastAsia="標楷體"/>
          <w:sz w:val="28"/>
          <w:szCs w:val="28"/>
        </w:rPr>
        <w:t>四、依據「教育部補</w:t>
      </w:r>
      <w:r>
        <w:rPr>
          <w:rStyle w:val="Style13"/>
          <w:rFonts w:eastAsia="標楷體" w:ascii="標楷體" w:hAnsi="標楷體"/>
          <w:sz w:val="28"/>
          <w:szCs w:val="28"/>
        </w:rPr>
        <w:t>(</w:t>
      </w:r>
      <w:r>
        <w:rPr>
          <w:rStyle w:val="Style13"/>
          <w:rFonts w:ascii="標楷體" w:hAnsi="標楷體" w:eastAsia="標楷體"/>
          <w:sz w:val="28"/>
          <w:szCs w:val="28"/>
        </w:rPr>
        <w:t>捐</w:t>
      </w:r>
      <w:r>
        <w:rPr>
          <w:rStyle w:val="Style13"/>
          <w:rFonts w:eastAsia="標楷體" w:ascii="標楷體" w:hAnsi="標楷體"/>
          <w:sz w:val="28"/>
          <w:szCs w:val="28"/>
        </w:rPr>
        <w:t>)</w:t>
      </w:r>
      <w:r>
        <w:rPr>
          <w:rStyle w:val="Style13"/>
          <w:rFonts w:ascii="標楷體" w:hAnsi="標楷體" w:eastAsia="標楷體"/>
          <w:sz w:val="28"/>
          <w:szCs w:val="28"/>
        </w:rPr>
        <w:t>助及委辦經費核撥結報作業要點」第五章第六款規定</w:t>
      </w:r>
      <w:r>
        <w:rPr>
          <w:rStyle w:val="Style13"/>
          <w:rFonts w:ascii="標楷體" w:hAnsi="標楷體" w:eastAsia="標楷體"/>
          <w:b/>
          <w:sz w:val="28"/>
          <w:szCs w:val="28"/>
          <w:u w:val="single"/>
        </w:rPr>
        <w:t>「</w:t>
      </w:r>
      <w:r>
        <w:rPr>
          <w:rStyle w:val="Style13"/>
          <w:rFonts w:ascii="標楷體" w:hAnsi="標楷體" w:eastAsia="標楷體"/>
          <w:b/>
          <w:sz w:val="28"/>
          <w:u w:val="single"/>
        </w:rPr>
        <w:t>除</w:t>
      </w:r>
      <w:r>
        <w:rPr>
          <w:rStyle w:val="Style13"/>
          <w:rFonts w:ascii="標楷體" w:hAnsi="標楷體" w:eastAsia="標楷體"/>
          <w:b/>
          <w:sz w:val="28"/>
          <w:u w:val="single"/>
          <w:lang w:eastAsia="zh-HK"/>
        </w:rPr>
        <w:t>前</w:t>
      </w:r>
      <w:r>
        <w:rPr>
          <w:rStyle w:val="Style13"/>
          <w:rFonts w:ascii="標楷體" w:hAnsi="標楷體" w:eastAsia="標楷體"/>
          <w:b/>
          <w:sz w:val="28"/>
          <w:u w:val="single"/>
        </w:rPr>
        <w:t>五款及原計畫已有規定者外，各項變更得循執行單位內部行政程序自行辦理。</w:t>
      </w:r>
      <w:r>
        <w:rPr>
          <w:rStyle w:val="Style13"/>
          <w:rFonts w:ascii="標楷體" w:hAnsi="標楷體" w:eastAsia="標楷體"/>
          <w:b/>
          <w:sz w:val="28"/>
          <w:szCs w:val="28"/>
          <w:u w:val="single"/>
        </w:rPr>
        <w:t>」</w:t>
      </w:r>
      <w:r>
        <w:rPr>
          <w:rStyle w:val="Style13"/>
          <w:rFonts w:ascii="標楷體" w:hAnsi="標楷體" w:eastAsia="標楷體"/>
          <w:sz w:val="28"/>
          <w:szCs w:val="28"/>
        </w:rPr>
        <w:t>，爰業務費項下非新增項目勻支得依前揭規定辦理，以增加經費運用之彈性。</w:t>
      </w:r>
    </w:p>
    <w:p>
      <w:pPr>
        <w:pStyle w:val="Style21"/>
        <w:tabs>
          <w:tab w:val="clear" w:pos="480"/>
        </w:tabs>
        <w:snapToGrid w:val="false"/>
        <w:spacing w:lineRule="exact" w:line="440" w:before="180" w:after="0"/>
        <w:ind w:left="562" w:hanging="560"/>
        <w:rPr/>
      </w:pPr>
      <w:r>
        <w:rPr>
          <w:rStyle w:val="Style13"/>
          <w:rFonts w:ascii="標楷體" w:hAnsi="標楷體" w:eastAsia="標楷體"/>
          <w:sz w:val="28"/>
          <w:szCs w:val="28"/>
        </w:rPr>
        <w:t>五、另依據行政院主計處發布之</w:t>
      </w:r>
      <w:r>
        <w:rPr>
          <w:rStyle w:val="Style13"/>
          <w:rFonts w:ascii="標楷體" w:hAnsi="標楷體" w:eastAsia="標楷體"/>
          <w:sz w:val="28"/>
          <w:szCs w:val="28"/>
          <w:u w:val="single"/>
        </w:rPr>
        <w:t>「各縣（市）政府財力分級級次」</w:t>
      </w:r>
      <w:r>
        <w:rPr>
          <w:rStyle w:val="Style13"/>
          <w:rFonts w:ascii="標楷體" w:hAnsi="標楷體" w:eastAsia="標楷體"/>
          <w:sz w:val="28"/>
          <w:szCs w:val="28"/>
        </w:rPr>
        <w:t>進行補助，最高補助</w:t>
      </w:r>
      <w:r>
        <w:rPr>
          <w:rStyle w:val="Style13"/>
          <w:rFonts w:eastAsia="標楷體" w:ascii="標楷體" w:hAnsi="標楷體"/>
          <w:sz w:val="28"/>
          <w:szCs w:val="28"/>
        </w:rPr>
        <w:t>90%</w:t>
      </w:r>
      <w:r>
        <w:rPr>
          <w:rStyle w:val="Style13"/>
          <w:rFonts w:ascii="標楷體" w:hAnsi="標楷體" w:eastAsia="標楷體"/>
          <w:sz w:val="28"/>
          <w:szCs w:val="28"/>
        </w:rPr>
        <w:t>，請各地方政府先行彙整學校經費並檢視需自籌款項。</w:t>
      </w:r>
    </w:p>
    <w:sectPr>
      <w:footerReference w:type="default" r:id="rId2"/>
      <w:type w:val="nextPage"/>
      <w:pgSz w:w="11906" w:h="16838"/>
      <w:pgMar w:left="1304" w:right="1304" w:gutter="0" w:header="0" w:top="851" w:footer="397" w:bottom="737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Cambria"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  <w:font w:name="Liberation Sans">
    <w:altName w:val="Arial"/>
    <w:charset w:val="8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  <w:p>
    <w:pPr>
      <w:pStyle w:val="Style25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、"/>
      <w:lvlJc w:val="left"/>
      <w:pPr>
        <w:tabs>
          <w:tab w:val="num" w:pos="0"/>
        </w:tabs>
        <w:ind w:left="500" w:hanging="500"/>
      </w:pPr>
      <w:rPr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>
    <w:lvl w:ilvl="0">
      <w:start w:val="3"/>
      <w:numFmt w:val="decimal"/>
      <w:lvlText w:val="%1、"/>
      <w:lvlJc w:val="left"/>
      <w:pPr>
        <w:tabs>
          <w:tab w:val="num" w:pos="0"/>
        </w:tabs>
        <w:ind w:left="500" w:hanging="50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35" w:hanging="480"/>
      </w:pPr>
      <w:rPr>
        <w:sz w:val="24"/>
        <w:szCs w:val="24"/>
        <w:rFonts w:ascii="標楷體" w:hAnsi="標楷體" w:eastAsia="標楷體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1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9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7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5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3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1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9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75" w:hanging="480"/>
      </w:pPr>
    </w:lvl>
  </w:abstractNum>
  <w:abstractNum w:abstractNumId="5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035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7">
    <w:lvl w:ilvl="0">
      <w:start w:val="5"/>
      <w:numFmt w:val="decimal"/>
      <w:suff w:val="nothing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paragraph" w:styleId="1">
    <w:name w:val="Heading 1"/>
    <w:basedOn w:val="Style21"/>
    <w:next w:val="Style21"/>
    <w:qFormat/>
    <w:pPr>
      <w:keepNext w:val="true"/>
      <w:numPr>
        <w:ilvl w:val="0"/>
        <w:numId w:val="1"/>
      </w:numPr>
      <w:suppressAutoHyphens w:val="true"/>
      <w:spacing w:lineRule="auto" w:line="720" w:before="180" w:after="180"/>
      <w:outlineLvl w:val="0"/>
    </w:pPr>
    <w:rPr>
      <w:rFonts w:ascii="Cambria" w:hAnsi="Cambria" w:eastAsia="新細明體" w:cs="Times New Roman"/>
      <w:b/>
      <w:bCs/>
      <w:kern w:val="2"/>
      <w:sz w:val="52"/>
      <w:szCs w:val="52"/>
    </w:rPr>
  </w:style>
  <w:style w:type="character" w:styleId="Style13">
    <w:name w:val="預設段落字型"/>
    <w:qFormat/>
    <w:rPr/>
  </w:style>
  <w:style w:type="character" w:styleId="11">
    <w:name w:val="標題 1 字元"/>
    <w:basedOn w:val="Style13"/>
    <w:qFormat/>
    <w:rPr>
      <w:rFonts w:ascii="Cambria" w:hAnsi="Cambria" w:eastAsia="新細明體" w:cs="Times New Roman"/>
      <w:b/>
      <w:bCs/>
      <w:kern w:val="2"/>
      <w:sz w:val="52"/>
      <w:szCs w:val="52"/>
    </w:rPr>
  </w:style>
  <w:style w:type="character" w:styleId="Style14">
    <w:name w:val="清單段落 字元"/>
    <w:qFormat/>
    <w:rPr>
      <w:rFonts w:ascii="Times New Roman" w:hAnsi="Times New Roman" w:eastAsia="新細明體" w:cs="Times New Roman"/>
      <w:szCs w:val="24"/>
    </w:rPr>
  </w:style>
  <w:style w:type="character" w:styleId="Style15">
    <w:name w:val="頁首 字元"/>
    <w:basedOn w:val="Style13"/>
    <w:qFormat/>
    <w:rPr>
      <w:rFonts w:ascii="Times New Roman" w:hAnsi="Times New Roman" w:eastAsia="新細明體" w:cs="Times New Roman"/>
      <w:sz w:val="20"/>
      <w:szCs w:val="20"/>
    </w:rPr>
  </w:style>
  <w:style w:type="character" w:styleId="Style16">
    <w:name w:val="頁尾 字元"/>
    <w:basedOn w:val="Style13"/>
    <w:qFormat/>
    <w:rPr>
      <w:rFonts w:ascii="Times New Roman" w:hAnsi="Times New Roman" w:eastAsia="新細明體" w:cs="Times New Roman"/>
      <w:sz w:val="20"/>
      <w:szCs w:val="20"/>
    </w:rPr>
  </w:style>
  <w:style w:type="character" w:styleId="Style17">
    <w:name w:val="註解方塊文字 字元"/>
    <w:basedOn w:val="Style13"/>
    <w:qFormat/>
    <w:rPr>
      <w:rFonts w:ascii="Cambria" w:hAnsi="Cambria" w:eastAsia="新細明體" w:cs="Times New Roman"/>
      <w:sz w:val="18"/>
      <w:szCs w:val="18"/>
    </w:rPr>
  </w:style>
  <w:style w:type="character" w:styleId="Style18">
    <w:name w:val="超連結"/>
    <w:basedOn w:val="Style13"/>
    <w:qFormat/>
    <w:rPr>
      <w:color w:val="0000FF"/>
      <w:u w:val="single"/>
    </w:rPr>
  </w:style>
  <w:style w:type="character" w:styleId="Style19">
    <w:name w:val="註腳文字 字元"/>
    <w:basedOn w:val="Style13"/>
    <w:qFormat/>
    <w:rPr>
      <w:rFonts w:ascii="Times New Roman" w:hAnsi="Times New Roman" w:eastAsia="新細明體" w:cs="Times New Roman"/>
      <w:sz w:val="20"/>
      <w:szCs w:val="20"/>
    </w:rPr>
  </w:style>
  <w:style w:type="character" w:styleId="WWCharLFO1LVL1">
    <w:name w:val="WW_CharLFO1LVL1"/>
    <w:qFormat/>
    <w:rPr>
      <w:rFonts w:cs="Times New Roman"/>
    </w:rPr>
  </w:style>
  <w:style w:type="character" w:styleId="WWCharLFO6LVL1">
    <w:name w:val="WW_CharLFO6LVL1"/>
    <w:qFormat/>
    <w:rPr>
      <w:b/>
      <w:color w:val="auto"/>
      <w:sz w:val="28"/>
      <w:szCs w:val="28"/>
    </w:rPr>
  </w:style>
  <w:style w:type="character" w:styleId="WWCharLFO8LVL1">
    <w:name w:val="WW_CharLFO8LVL1"/>
    <w:qFormat/>
    <w:rPr>
      <w:rFonts w:cs="新細明體"/>
      <w:b/>
    </w:rPr>
  </w:style>
  <w:style w:type="character" w:styleId="WWCharLFO11LVL1">
    <w:name w:val="WW_CharLFO11LVL1"/>
    <w:qFormat/>
    <w:rPr>
      <w:rFonts w:cs="新細明體"/>
    </w:rPr>
  </w:style>
  <w:style w:type="character" w:styleId="WWCharLFO12LVL1">
    <w:name w:val="WW_CharLFO12LVL1"/>
    <w:qFormat/>
    <w:rPr>
      <w:rFonts w:cs="新細明體"/>
    </w:rPr>
  </w:style>
  <w:style w:type="character" w:styleId="WWCharLFO17LVL1">
    <w:name w:val="WW_CharLFO17LVL1"/>
    <w:qFormat/>
    <w:rPr>
      <w:lang w:val="en-US"/>
    </w:rPr>
  </w:style>
  <w:style w:type="character" w:styleId="WWCharLFO19LVL1">
    <w:name w:val="WW_CharLFO19LVL1"/>
    <w:qFormat/>
    <w:rPr>
      <w:rFonts w:ascii="標楷體" w:hAnsi="標楷體" w:eastAsia="標楷體"/>
      <w:color w:val="auto"/>
      <w:sz w:val="24"/>
      <w:szCs w:val="24"/>
    </w:rPr>
  </w:style>
  <w:style w:type="character" w:styleId="WWCharLFO20LVL1">
    <w:name w:val="WW_CharLFO20LVL1"/>
    <w:qFormat/>
    <w:rPr>
      <w:rFonts w:ascii="標楷體" w:hAnsi="標楷體" w:eastAsia="標楷體"/>
      <w:color w:val="auto"/>
      <w:sz w:val="24"/>
      <w:szCs w:val="24"/>
    </w:rPr>
  </w:style>
  <w:style w:type="character" w:styleId="WWCharLFO21LVL1">
    <w:name w:val="WW_CharLFO21LVL1"/>
    <w:qFormat/>
    <w:rPr>
      <w:rFonts w:ascii="標楷體" w:hAnsi="標楷體" w:eastAsia="標楷體"/>
      <w:color w:val="auto"/>
      <w:sz w:val="24"/>
      <w:szCs w:val="24"/>
    </w:rPr>
  </w:style>
  <w:style w:type="character" w:styleId="WWCharLFO22LVL1">
    <w:name w:val="WW_CharLFO22LVL1"/>
    <w:qFormat/>
    <w:rPr>
      <w:color w:val="auto"/>
    </w:rPr>
  </w:style>
  <w:style w:type="character" w:styleId="WWCharLFO26LVL1">
    <w:name w:val="WW_CharLFO26LVL1"/>
    <w:qFormat/>
    <w:rPr>
      <w:rFonts w:ascii="標楷體" w:hAnsi="標楷體" w:eastAsia="標楷體"/>
      <w:color w:val="auto"/>
      <w:sz w:val="24"/>
      <w:szCs w:val="24"/>
    </w:rPr>
  </w:style>
  <w:style w:type="paragraph" w:styleId="Style20">
    <w:name w:val="標題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微軟正黑體" w:cs="Tahoma"/>
      <w:sz w:val="28"/>
      <w:szCs w:val="28"/>
    </w:rPr>
  </w:style>
  <w:style w:type="paragraph" w:styleId="Style21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Style22">
    <w:name w:val="清單段落"/>
    <w:basedOn w:val="Style21"/>
    <w:qFormat/>
    <w:pPr>
      <w:tabs>
        <w:tab w:val="clear" w:pos="480"/>
      </w:tabs>
      <w:suppressAutoHyphens w:val="true"/>
      <w:ind w:left="480" w:hanging="0"/>
    </w:pPr>
    <w:rPr/>
  </w:style>
  <w:style w:type="paragraph" w:styleId="Style23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Style21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5">
    <w:name w:val="Footer"/>
    <w:basedOn w:val="Style21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6">
    <w:name w:val="註解方塊文字"/>
    <w:basedOn w:val="Style21"/>
    <w:qFormat/>
    <w:pPr>
      <w:suppressAutoHyphens w:val="true"/>
    </w:pPr>
    <w:rPr>
      <w:rFonts w:ascii="Cambria" w:hAnsi="Cambria" w:eastAsia="新細明體" w:cs="Times New Roman"/>
      <w:sz w:val="18"/>
      <w:szCs w:val="18"/>
    </w:rPr>
  </w:style>
  <w:style w:type="paragraph" w:styleId="Style27">
    <w:name w:val="註腳文字"/>
    <w:basedOn w:val="Style21"/>
    <w:qFormat/>
    <w:pPr>
      <w:suppressAutoHyphens w:val="true"/>
      <w:snapToGrid w:val="false"/>
    </w:pPr>
    <w:rPr>
      <w:sz w:val="20"/>
      <w:szCs w:val="20"/>
    </w:rPr>
  </w:style>
  <w:style w:type="paragraph" w:styleId="Style28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LibreOffice/7.2.0.4$Windows_X86_64 LibreOffice_project/9a9c6381e3f7a62afc1329bd359cc48accb6435b</Application>
  <AppVersion>15.0000</AppVersion>
  <Pages>2</Pages>
  <Words>177</Words>
  <Characters>1015</Characters>
  <CharactersWithSpaces>1190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2021-11-16T01:20:00Z</dcterms:created>
  <dc:creator>User</dc:creator>
  <dc:description/>
  <dc:language>zh-TW</dc:language>
  <cp:lastModifiedBy>蔡宛秦</cp:lastModifiedBy>
  <cp:lastPrinted>2021-05-13T11:32:00Z</cp:lastPrinted>
  <dcterms:modified xsi:type="dcterms:W3CDTF">2021-11-16T01:20:00Z</dcterms:modified>
  <cp:revision>2</cp:revision>
  <dc:subject/>
  <dc:title/>
</cp:coreProperties>
</file>