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60F18" w:rsidRDefault="00403CBD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object w:dxaOrig="2720" w:dyaOrig="2720">
          <v:rect id="rectole0000000000" o:spid="_x0000_i1025" style="width:135.75pt;height:135.75pt" o:ole="" o:preferrelative="t" stroked="f">
            <v:imagedata r:id="rId6" o:title=""/>
          </v:rect>
          <o:OLEObject Type="Embed" ProgID="StaticMetafile" ShapeID="rectole0000000000" DrawAspect="Content" ObjectID="_1795961858" r:id="rId7"/>
        </w:object>
      </w:r>
      <w:r>
        <w:object w:dxaOrig="2720" w:dyaOrig="2720">
          <v:rect id="rectole0000000001" o:spid="_x0000_i1026" style="width:135.75pt;height:135.75pt" o:ole="" o:preferrelative="t" stroked="f">
            <v:imagedata r:id="rId8" o:title=""/>
          </v:rect>
          <o:OLEObject Type="Embed" ProgID="StaticMetafile" ShapeID="rectole0000000001" DrawAspect="Content" ObjectID="_1795961859" r:id="rId9"/>
        </w:object>
      </w:r>
    </w:p>
    <w:p w:rsidR="00760F18" w:rsidRDefault="00760F18">
      <w:pPr>
        <w:spacing w:line="320" w:lineRule="auto"/>
        <w:jc w:val="center"/>
        <w:rPr>
          <w:rFonts w:ascii="微軟正黑體" w:eastAsia="微軟正黑體" w:hAnsi="微軟正黑體" w:cs="微軟正黑體"/>
        </w:rPr>
      </w:pPr>
    </w:p>
    <w:p w:rsidR="00760F18" w:rsidRDefault="00403CBD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>臺灣貝比魯斯聯盟</w:t>
      </w:r>
    </w:p>
    <w:p w:rsidR="00760F18" w:rsidRDefault="00403CBD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TAIWAN BABE RUTH LEAGUE</w:t>
      </w:r>
    </w:p>
    <w:p w:rsidR="00760F18" w:rsidRDefault="00760F18">
      <w:pPr>
        <w:spacing w:line="320" w:lineRule="auto"/>
        <w:jc w:val="center"/>
        <w:rPr>
          <w:rFonts w:ascii="微軟正黑體" w:eastAsia="微軟正黑體" w:hAnsi="微軟正黑體" w:cs="微軟正黑體"/>
        </w:rPr>
      </w:pPr>
    </w:p>
    <w:p w:rsidR="00760F18" w:rsidRDefault="00403CBD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>2025</w:t>
      </w:r>
      <w:r>
        <w:rPr>
          <w:rFonts w:ascii="微軟正黑體" w:eastAsia="微軟正黑體" w:hAnsi="微軟正黑體" w:cs="微軟正黑體"/>
          <w:b/>
          <w:sz w:val="36"/>
        </w:rPr>
        <w:t>年美國貝比魯斯聯盟</w:t>
      </w:r>
    </w:p>
    <w:p w:rsidR="00760F18" w:rsidRDefault="00403CBD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卡爾瑞普肯世界少棒錦標賽</w:t>
      </w:r>
      <w:r>
        <w:rPr>
          <w:rFonts w:ascii="微軟正黑體" w:eastAsia="微軟正黑體" w:hAnsi="微軟正黑體" w:cs="微軟正黑體"/>
        </w:rPr>
        <w:t xml:space="preserve">/ </w:t>
      </w:r>
    </w:p>
    <w:p w:rsidR="00760F18" w:rsidRDefault="00403CBD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U13-U16/U18</w:t>
      </w:r>
      <w:r>
        <w:rPr>
          <w:rFonts w:ascii="微軟正黑體" w:eastAsia="微軟正黑體" w:hAnsi="微軟正黑體" w:cs="微軟正黑體"/>
        </w:rPr>
        <w:t>貝比魯斯聯盟世界青少、青棒錦標賽全國選拔賽</w:t>
      </w:r>
    </w:p>
    <w:p w:rsidR="00760F18" w:rsidRDefault="00403CBD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U10 U11 U14</w:t>
      </w:r>
      <w:r>
        <w:rPr>
          <w:rFonts w:ascii="微軟正黑體" w:eastAsia="微軟正黑體" w:hAnsi="微軟正黑體" w:cs="微軟正黑體"/>
        </w:rPr>
        <w:t>貝比魯斯聯盟世界少、青少棒錦標賽加盟條件表</w:t>
      </w:r>
    </w:p>
    <w:p w:rsidR="00760F18" w:rsidRDefault="00403CBD">
      <w:pPr>
        <w:spacing w:line="32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附件一（台灣白隊）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1248"/>
        <w:gridCol w:w="949"/>
        <w:gridCol w:w="3793"/>
        <w:gridCol w:w="1775"/>
      </w:tblGrid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編號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區域劃分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加盟縣市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加盟須符合以下條件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備註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1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North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新北市</w:t>
            </w:r>
          </w:p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台北市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桃園市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年未取得該縣市全國選拔賽代表隊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2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西北區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Northwest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苗栗縣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新竹縣市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</w:t>
            </w:r>
          </w:p>
          <w:p w:rsidR="00760F18" w:rsidRDefault="00760F18">
            <w:pPr>
              <w:spacing w:line="320" w:lineRule="auto"/>
              <w:jc w:val="center"/>
            </w:pP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東北區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Northeast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宜蘭縣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基隆市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東區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East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花蓮縣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5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東南區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Southeast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台東縣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6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South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屏東縣</w:t>
            </w:r>
          </w:p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高雄市</w:t>
            </w:r>
          </w:p>
          <w:p w:rsidR="00760F18" w:rsidRDefault="00760F18">
            <w:pPr>
              <w:spacing w:line="320" w:lineRule="auto"/>
              <w:jc w:val="center"/>
            </w:pP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屬宜蘭縣、花蓮縣、台東縣、屏東縣、苗栗縣、新竹縣市、嘉義縣市、彰化縣、南投縣、基隆市學校。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7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西南區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Southwest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台南縣市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嘉義縣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市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760F18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</w:p>
          <w:p w:rsidR="00760F18" w:rsidRDefault="00760F18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8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西區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West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台中市</w:t>
            </w:r>
          </w:p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彰化縣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南投縣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  <w:tr w:rsidR="00760F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9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離島區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澎湖縣</w:t>
            </w:r>
          </w:p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金門縣</w:t>
            </w:r>
          </w:p>
          <w:p w:rsidR="00760F18" w:rsidRDefault="00403CBD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連江縣</w:t>
            </w:r>
          </w:p>
          <w:p w:rsidR="00760F18" w:rsidRDefault="00403CBD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</w:rPr>
              <w:t>台東縣</w:t>
            </w:r>
          </w:p>
        </w:tc>
        <w:tc>
          <w:tcPr>
            <w:tcW w:w="4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1.</w:t>
            </w:r>
            <w:r>
              <w:rPr>
                <w:rFonts w:ascii="微軟正黑體" w:eastAsia="微軟正黑體" w:hAnsi="微軟正黑體" w:cs="微軟正黑體"/>
                <w:sz w:val="20"/>
              </w:rPr>
              <w:t>原母校棒球隊原住民選手須達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之比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例</w:t>
            </w:r>
            <w:r>
              <w:rPr>
                <w:rFonts w:ascii="微軟正黑體" w:eastAsia="微軟正黑體" w:hAnsi="微軟正黑體" w:cs="微軟正黑體"/>
                <w:sz w:val="20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sz w:val="20"/>
              </w:rPr>
              <w:t>例如</w:t>
            </w: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  <w:r>
              <w:rPr>
                <w:rFonts w:ascii="微軟正黑體" w:eastAsia="微軟正黑體" w:hAnsi="微軟正黑體" w:cs="微軟正黑體"/>
                <w:sz w:val="20"/>
              </w:rPr>
              <w:t>位須</w:t>
            </w: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  <w:r>
              <w:rPr>
                <w:rFonts w:ascii="微軟正黑體" w:eastAsia="微軟正黑體" w:hAnsi="微軟正黑體" w:cs="微軟正黑體"/>
                <w:sz w:val="20"/>
              </w:rPr>
              <w:t>位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，須有該學年度參賽註冊登錄為基準（秩序冊）。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2.</w:t>
            </w:r>
            <w:r>
              <w:rPr>
                <w:rFonts w:ascii="微軟正黑體" w:eastAsia="微軟正黑體" w:hAnsi="微軟正黑體" w:cs="微軟正黑體"/>
                <w:sz w:val="20"/>
              </w:rPr>
              <w:t>學校全校人數</w:t>
            </w:r>
            <w:r>
              <w:rPr>
                <w:rFonts w:ascii="微軟正黑體" w:eastAsia="微軟正黑體" w:hAnsi="微軟正黑體" w:cs="微軟正黑體"/>
                <w:sz w:val="20"/>
              </w:rPr>
              <w:t>450</w:t>
            </w:r>
            <w:r>
              <w:rPr>
                <w:rFonts w:ascii="微軟正黑體" w:eastAsia="微軟正黑體" w:hAnsi="微軟正黑體" w:cs="微軟正黑體"/>
                <w:sz w:val="20"/>
              </w:rPr>
              <w:t>位以下。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3. 112</w:t>
            </w:r>
            <w:r>
              <w:rPr>
                <w:rFonts w:ascii="微軟正黑體" w:eastAsia="微軟正黑體" w:hAnsi="微軟正黑體" w:cs="微軟正黑體"/>
                <w:sz w:val="20"/>
              </w:rPr>
              <w:t>學年度高中木鋁棒聯賽四強後、國中小棒球</w:t>
            </w:r>
            <w:r>
              <w:rPr>
                <w:rFonts w:ascii="微軟正黑體" w:eastAsia="微軟正黑體" w:hAnsi="微軟正黑體" w:cs="微軟正黑體"/>
                <w:sz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</w:rPr>
              <w:t>軟硬式</w:t>
            </w:r>
            <w:r>
              <w:rPr>
                <w:rFonts w:ascii="微軟正黑體" w:eastAsia="微軟正黑體" w:hAnsi="微軟正黑體" w:cs="微軟正黑體"/>
                <w:sz w:val="20"/>
              </w:rPr>
              <w:t>)</w:t>
            </w:r>
            <w:r>
              <w:rPr>
                <w:rFonts w:ascii="微軟正黑體" w:eastAsia="微軟正黑體" w:hAnsi="微軟正黑體" w:cs="微軟正黑體"/>
                <w:sz w:val="20"/>
              </w:rPr>
              <w:t>八強後之球隊，即可辦理加盟。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4.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屬偏遠、偏鄉及離島學校</w:t>
            </w:r>
          </w:p>
          <w:p w:rsidR="00760F18" w:rsidRDefault="00403CBD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5. </w:t>
            </w:r>
            <w:r>
              <w:rPr>
                <w:rFonts w:ascii="微軟正黑體" w:eastAsia="微軟正黑體" w:hAnsi="微軟正黑體" w:cs="微軟正黑體"/>
                <w:sz w:val="20"/>
              </w:rPr>
              <w:t>屬宜蘭縣、花蓮縣、台東縣、屏東縣、苗栗縣、新竹縣、嘉義縣市、彰化縣、南投縣、基隆市學校。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6.</w:t>
            </w:r>
            <w:r>
              <w:rPr>
                <w:rFonts w:ascii="微軟正黑體" w:eastAsia="微軟正黑體" w:hAnsi="微軟正黑體" w:cs="微軟正黑體"/>
                <w:sz w:val="20"/>
              </w:rPr>
              <w:t>近</w:t>
            </w:r>
            <w:r>
              <w:rPr>
                <w:rFonts w:ascii="微軟正黑體" w:eastAsia="微軟正黑體" w:hAnsi="微軟正黑體" w:cs="微軟正黑體"/>
                <w:sz w:val="20"/>
              </w:rPr>
              <w:t>2</w:t>
            </w:r>
            <w:r>
              <w:rPr>
                <w:rFonts w:ascii="微軟正黑體" w:eastAsia="微軟正黑體" w:hAnsi="微軟正黑體" w:cs="微軟正黑體"/>
                <w:sz w:val="20"/>
              </w:rPr>
              <w:t>年未取得該縣是全國選拔賽代表隊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</w:rPr>
              <w:t>組訓權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</w:rPr>
              <w:t>。</w:t>
            </w:r>
          </w:p>
        </w:tc>
        <w:tc>
          <w:tcPr>
            <w:tcW w:w="2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 xml:space="preserve">1. 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縣市區域選拔原</w:t>
            </w:r>
            <w:r>
              <w:rPr>
                <w:rFonts w:ascii="微軟正黑體" w:eastAsia="微軟正黑體" w:hAnsi="微軟正黑體" w:cs="微軟正黑體"/>
                <w:sz w:val="20"/>
              </w:rPr>
              <w:lastRenderedPageBreak/>
              <w:t>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60%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微軟正黑體"/>
                <w:sz w:val="20"/>
              </w:rPr>
              <w:t>全國選拔賽原住民球員比例</w:t>
            </w:r>
            <w:r>
              <w:rPr>
                <w:rFonts w:ascii="微軟正黑體" w:eastAsia="微軟正黑體" w:hAnsi="微軟正黑體" w:cs="微軟正黑體"/>
                <w:sz w:val="20"/>
              </w:rPr>
              <w:t>80%</w:t>
            </w:r>
            <w:r>
              <w:rPr>
                <w:rFonts w:ascii="微軟正黑體" w:eastAsia="微軟正黑體" w:hAnsi="微軟正黑體" w:cs="微軟正黑體"/>
                <w:sz w:val="20"/>
              </w:rPr>
              <w:t>以上。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  <w:sz w:val="20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3.</w:t>
            </w:r>
            <w:r>
              <w:rPr>
                <w:rFonts w:ascii="微軟正黑體" w:eastAsia="微軟正黑體" w:hAnsi="微軟正黑體" w:cs="微軟正黑體"/>
                <w:sz w:val="20"/>
              </w:rPr>
              <w:t>縣市聯隊球員組成需為符合條件之加盟學校或社區單位。</w:t>
            </w:r>
          </w:p>
          <w:p w:rsidR="00760F18" w:rsidRDefault="00403CBD">
            <w:pPr>
              <w:spacing w:line="32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</w:rPr>
              <w:t>4.</w:t>
            </w:r>
            <w:r>
              <w:rPr>
                <w:rFonts w:ascii="微軟正黑體" w:eastAsia="微軟正黑體" w:hAnsi="微軟正黑體" w:cs="微軟正黑體"/>
                <w:sz w:val="20"/>
              </w:rPr>
              <w:t>符合加盟條件第</w:t>
            </w:r>
            <w:r>
              <w:rPr>
                <w:rFonts w:ascii="微軟正黑體" w:eastAsia="微軟正黑體" w:hAnsi="微軟正黑體" w:cs="微軟正黑體"/>
                <w:sz w:val="20"/>
              </w:rPr>
              <w:t>4,5</w:t>
            </w:r>
            <w:r>
              <w:rPr>
                <w:rFonts w:ascii="微軟正黑體" w:eastAsia="微軟正黑體" w:hAnsi="微軟正黑體" w:cs="微軟正黑體"/>
                <w:sz w:val="20"/>
              </w:rPr>
              <w:t>點不受上述</w:t>
            </w:r>
            <w:r>
              <w:rPr>
                <w:rFonts w:ascii="微軟正黑體" w:eastAsia="微軟正黑體" w:hAnsi="微軟正黑體" w:cs="微軟正黑體"/>
                <w:sz w:val="20"/>
              </w:rPr>
              <w:t>1,2</w:t>
            </w:r>
            <w:r>
              <w:rPr>
                <w:rFonts w:ascii="微軟正黑體" w:eastAsia="微軟正黑體" w:hAnsi="微軟正黑體" w:cs="微軟正黑體"/>
                <w:sz w:val="20"/>
              </w:rPr>
              <w:t>項參賽選拔條件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760F18" w:rsidRDefault="00403CBD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  <w:sz w:val="20"/>
              </w:rPr>
              <w:t>5.</w:t>
            </w:r>
            <w:r>
              <w:rPr>
                <w:rFonts w:ascii="微軟正黑體" w:eastAsia="微軟正黑體" w:hAnsi="微軟正黑體" w:cs="微軟正黑體"/>
                <w:sz w:val="20"/>
              </w:rPr>
              <w:t>至少須符合</w:t>
            </w: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  <w:r>
              <w:rPr>
                <w:rFonts w:ascii="微軟正黑體" w:eastAsia="微軟正黑體" w:hAnsi="微軟正黑體" w:cs="微軟正黑體"/>
                <w:sz w:val="20"/>
              </w:rPr>
              <w:t>項條件。</w:t>
            </w:r>
          </w:p>
        </w:tc>
      </w:tr>
    </w:tbl>
    <w:p w:rsidR="00760F18" w:rsidRDefault="00760F18">
      <w:pPr>
        <w:spacing w:line="320" w:lineRule="auto"/>
        <w:rPr>
          <w:rFonts w:ascii="微軟正黑體" w:eastAsia="微軟正黑體" w:hAnsi="微軟正黑體" w:cs="微軟正黑體"/>
          <w:b/>
        </w:rPr>
      </w:pPr>
    </w:p>
    <w:p w:rsidR="00760F18" w:rsidRDefault="00403CBD">
      <w:pPr>
        <w:spacing w:line="320" w:lineRule="auto"/>
        <w:rPr>
          <w:rFonts w:ascii="微軟正黑體" w:eastAsia="微軟正黑體" w:hAnsi="微軟正黑體" w:cs="微軟正黑體"/>
          <w:b/>
        </w:rPr>
      </w:pPr>
      <w:proofErr w:type="gramStart"/>
      <w:r>
        <w:rPr>
          <w:rFonts w:ascii="微軟正黑體" w:eastAsia="微軟正黑體" w:hAnsi="微軟正黑體" w:cs="微軟正黑體"/>
          <w:b/>
        </w:rPr>
        <w:t>＊</w:t>
      </w:r>
      <w:proofErr w:type="gramEnd"/>
      <w:r>
        <w:rPr>
          <w:rFonts w:ascii="微軟正黑體" w:eastAsia="微軟正黑體" w:hAnsi="微軟正黑體" w:cs="微軟正黑體"/>
          <w:b/>
        </w:rPr>
        <w:t>＊特別註明：</w:t>
      </w:r>
      <w:r>
        <w:rPr>
          <w:rFonts w:ascii="微軟正黑體" w:eastAsia="微軟正黑體" w:hAnsi="微軟正黑體" w:cs="微軟正黑體"/>
          <w:b/>
        </w:rPr>
        <w:t>2025</w:t>
      </w:r>
      <w:r>
        <w:rPr>
          <w:rFonts w:ascii="微軟正黑體" w:eastAsia="微軟正黑體" w:hAnsi="微軟正黑體" w:cs="微軟正黑體"/>
          <w:b/>
        </w:rPr>
        <w:t>年</w:t>
      </w:r>
      <w:r>
        <w:rPr>
          <w:rFonts w:ascii="微軟正黑體" w:eastAsia="微軟正黑體" w:hAnsi="微軟正黑體" w:cs="微軟正黑體"/>
          <w:b/>
        </w:rPr>
        <w:t>U10,U11,U14</w:t>
      </w:r>
      <w:r>
        <w:rPr>
          <w:rFonts w:ascii="微軟正黑體" w:eastAsia="微軟正黑體" w:hAnsi="微軟正黑體" w:cs="微軟正黑體"/>
          <w:b/>
        </w:rPr>
        <w:t>符合加盟條件學校或社區單位，將</w:t>
      </w:r>
      <w:proofErr w:type="gramStart"/>
      <w:r>
        <w:rPr>
          <w:rFonts w:ascii="微軟正黑體" w:eastAsia="微軟正黑體" w:hAnsi="微軟正黑體" w:cs="微軟正黑體"/>
          <w:b/>
        </w:rPr>
        <w:t>採</w:t>
      </w:r>
      <w:proofErr w:type="gramEnd"/>
      <w:r>
        <w:rPr>
          <w:rFonts w:ascii="微軟正黑體" w:eastAsia="微軟正黑體" w:hAnsi="微軟正黑體" w:cs="微軟正黑體"/>
          <w:b/>
        </w:rPr>
        <w:t>年度教育部聯賽、全國各選拔賽、全國各錦標杯賽累計積分制遴選代表隊。遴選競賽規程辦法於加盟後公佈，以上由聯盟審定委員審核辦理。</w:t>
      </w:r>
    </w:p>
    <w:p w:rsidR="00760F18" w:rsidRDefault="00760F18">
      <w:pPr>
        <w:spacing w:before="180" w:line="320" w:lineRule="auto"/>
        <w:ind w:firstLine="480"/>
        <w:jc w:val="both"/>
        <w:rPr>
          <w:rFonts w:ascii="微軟正黑體" w:eastAsia="微軟正黑體" w:hAnsi="微軟正黑體" w:cs="微軟正黑體"/>
        </w:rPr>
      </w:pPr>
    </w:p>
    <w:sectPr w:rsidR="00760F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CBD" w:rsidRDefault="00403CBD" w:rsidP="009D7FBC">
      <w:r>
        <w:separator/>
      </w:r>
    </w:p>
  </w:endnote>
  <w:endnote w:type="continuationSeparator" w:id="0">
    <w:p w:rsidR="00403CBD" w:rsidRDefault="00403CBD" w:rsidP="009D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CBD" w:rsidRDefault="00403CBD" w:rsidP="009D7FBC">
      <w:r>
        <w:separator/>
      </w:r>
    </w:p>
  </w:footnote>
  <w:footnote w:type="continuationSeparator" w:id="0">
    <w:p w:rsidR="00403CBD" w:rsidRDefault="00403CBD" w:rsidP="009D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18"/>
    <w:rsid w:val="00403CBD"/>
    <w:rsid w:val="00760F18"/>
    <w:rsid w:val="009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DF3154-275E-41BB-9403-DC8099B9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7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7F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林長枝</cp:lastModifiedBy>
  <cp:revision>2</cp:revision>
  <dcterms:created xsi:type="dcterms:W3CDTF">2024-12-17T09:30:00Z</dcterms:created>
  <dcterms:modified xsi:type="dcterms:W3CDTF">2024-12-17T09:30:00Z</dcterms:modified>
</cp:coreProperties>
</file>